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D6815" w14:textId="77777777" w:rsidR="000D3CA2" w:rsidRDefault="000D3CA2" w:rsidP="78832CFC">
      <w:pPr>
        <w:jc w:val="center"/>
        <w:rPr>
          <w:b/>
          <w:bCs/>
        </w:rPr>
      </w:pPr>
    </w:p>
    <w:p w14:paraId="4AB38C2A" w14:textId="3B1433A5" w:rsidR="00B72C30" w:rsidRDefault="0898367B" w:rsidP="78832CFC">
      <w:pPr>
        <w:jc w:val="center"/>
        <w:rPr>
          <w:b/>
          <w:bCs/>
        </w:rPr>
      </w:pPr>
      <w:r w:rsidRPr="0898367B">
        <w:rPr>
          <w:b/>
          <w:bCs/>
        </w:rPr>
        <w:t>INVITATION TO BID (ITB) FOR THE SUPPLY OF MEDICAL LIQUID OXYGEN (mLOX)</w:t>
      </w:r>
      <w:r w:rsidR="00462982">
        <w:rPr>
          <w:b/>
          <w:bCs/>
        </w:rPr>
        <w:t xml:space="preserve">, </w:t>
      </w:r>
      <w:r w:rsidRPr="0898367B">
        <w:rPr>
          <w:b/>
          <w:bCs/>
        </w:rPr>
        <w:t>LIQUID TO GAS FILLING SYSTEM OPERATIONS</w:t>
      </w:r>
      <w:r w:rsidR="00462982">
        <w:rPr>
          <w:b/>
          <w:bCs/>
        </w:rPr>
        <w:t xml:space="preserve"> AND CAPACITY BUILDING</w:t>
      </w:r>
      <w:r w:rsidRPr="0898367B">
        <w:rPr>
          <w:b/>
          <w:bCs/>
        </w:rPr>
        <w:t xml:space="preserve"> IN THE DEMOCRATIC REPUBLIC OF CONGO</w:t>
      </w:r>
    </w:p>
    <w:p w14:paraId="7DF7CD51" w14:textId="68CCA667" w:rsidR="00711CA3" w:rsidRPr="00476B46" w:rsidRDefault="00711CA3" w:rsidP="78832CFC">
      <w:pPr>
        <w:jc w:val="center"/>
        <w:rPr>
          <w:b/>
          <w:bCs/>
          <w:lang w:val="fr-FR"/>
        </w:rPr>
      </w:pPr>
    </w:p>
    <w:tbl>
      <w:tblPr>
        <w:tblStyle w:val="TableGrid"/>
        <w:tblW w:w="6660" w:type="dxa"/>
        <w:jc w:val="center"/>
        <w:tblLook w:val="04A0" w:firstRow="1" w:lastRow="0" w:firstColumn="1" w:lastColumn="0" w:noHBand="0" w:noVBand="1"/>
      </w:tblPr>
      <w:tblGrid>
        <w:gridCol w:w="3060"/>
        <w:gridCol w:w="3600"/>
      </w:tblGrid>
      <w:tr w:rsidR="00E42182" w:rsidRPr="00A90C3E" w14:paraId="13E67FBC" w14:textId="77777777" w:rsidTr="0898367B">
        <w:trPr>
          <w:jc w:val="center"/>
        </w:trPr>
        <w:tc>
          <w:tcPr>
            <w:tcW w:w="3060" w:type="dxa"/>
          </w:tcPr>
          <w:p w14:paraId="3F53D9D2" w14:textId="5F017A29" w:rsidR="00E42182" w:rsidRPr="00A90C3E" w:rsidRDefault="00E42182" w:rsidP="00123C08">
            <w:pPr>
              <w:spacing w:line="276" w:lineRule="auto"/>
              <w:jc w:val="center"/>
              <w:rPr>
                <w:rFonts w:cstheme="minorHAnsi"/>
              </w:rPr>
            </w:pPr>
            <w:r w:rsidRPr="00A90C3E">
              <w:rPr>
                <w:rFonts w:cstheme="minorHAnsi"/>
              </w:rPr>
              <w:t>Reference</w:t>
            </w:r>
          </w:p>
        </w:tc>
        <w:tc>
          <w:tcPr>
            <w:tcW w:w="3600" w:type="dxa"/>
          </w:tcPr>
          <w:p w14:paraId="0ED81D3E" w14:textId="2CE0FD60" w:rsidR="00E42182" w:rsidRPr="00763DA4" w:rsidRDefault="0898367B" w:rsidP="455FC561">
            <w:pPr>
              <w:rPr>
                <w:b/>
                <w:bCs/>
              </w:rPr>
            </w:pPr>
            <w:r w:rsidRPr="00763DA4">
              <w:rPr>
                <w:b/>
                <w:bCs/>
              </w:rPr>
              <w:t>ITB/CHAI/LOxF/DRC/0124</w:t>
            </w:r>
          </w:p>
        </w:tc>
      </w:tr>
      <w:tr w:rsidR="00E42182" w:rsidRPr="00A90C3E" w14:paraId="2F4D2C2C" w14:textId="77777777" w:rsidTr="0898367B">
        <w:trPr>
          <w:jc w:val="center"/>
        </w:trPr>
        <w:tc>
          <w:tcPr>
            <w:tcW w:w="3060" w:type="dxa"/>
          </w:tcPr>
          <w:p w14:paraId="11DD3C4D" w14:textId="35B49EE8" w:rsidR="00E42182" w:rsidRPr="00A90C3E" w:rsidRDefault="00E42182" w:rsidP="00123C08">
            <w:pPr>
              <w:spacing w:line="276" w:lineRule="auto"/>
              <w:jc w:val="center"/>
              <w:rPr>
                <w:rFonts w:cstheme="minorHAnsi"/>
              </w:rPr>
            </w:pPr>
            <w:r w:rsidRPr="00A90C3E">
              <w:rPr>
                <w:rFonts w:cstheme="minorHAnsi"/>
              </w:rPr>
              <w:t>Posting Date</w:t>
            </w:r>
          </w:p>
        </w:tc>
        <w:tc>
          <w:tcPr>
            <w:tcW w:w="3600" w:type="dxa"/>
          </w:tcPr>
          <w:p w14:paraId="6F5F1FA0" w14:textId="4922BA28" w:rsidR="00E42182" w:rsidRPr="00763DA4" w:rsidRDefault="00C53382" w:rsidP="69A12E2C">
            <w:r w:rsidRPr="00763DA4">
              <w:t>5</w:t>
            </w:r>
            <w:r w:rsidRPr="00763DA4">
              <w:rPr>
                <w:vertAlign w:val="superscript"/>
              </w:rPr>
              <w:t>th</w:t>
            </w:r>
            <w:r w:rsidRPr="00763DA4">
              <w:t xml:space="preserve"> </w:t>
            </w:r>
            <w:r w:rsidR="69A12E2C" w:rsidRPr="00763DA4">
              <w:t>August 2024</w:t>
            </w:r>
          </w:p>
        </w:tc>
      </w:tr>
      <w:tr w:rsidR="00E42182" w:rsidRPr="00A90C3E" w14:paraId="65826C41" w14:textId="77777777" w:rsidTr="0898367B">
        <w:trPr>
          <w:trHeight w:val="323"/>
          <w:jc w:val="center"/>
        </w:trPr>
        <w:tc>
          <w:tcPr>
            <w:tcW w:w="3060" w:type="dxa"/>
          </w:tcPr>
          <w:p w14:paraId="233BA365" w14:textId="42E0266C" w:rsidR="00E42182" w:rsidRPr="00A90C3E" w:rsidRDefault="00E42182" w:rsidP="00123C08">
            <w:pPr>
              <w:spacing w:line="276" w:lineRule="auto"/>
              <w:jc w:val="center"/>
              <w:rPr>
                <w:rFonts w:cstheme="minorHAnsi"/>
              </w:rPr>
            </w:pPr>
            <w:r w:rsidRPr="00A90C3E">
              <w:rPr>
                <w:rFonts w:cstheme="minorHAnsi"/>
              </w:rPr>
              <w:t>Closing date</w:t>
            </w:r>
          </w:p>
        </w:tc>
        <w:tc>
          <w:tcPr>
            <w:tcW w:w="3600" w:type="dxa"/>
          </w:tcPr>
          <w:p w14:paraId="41F81675" w14:textId="00611BE4" w:rsidR="00E42182" w:rsidRPr="00763DA4" w:rsidRDefault="69A12E2C" w:rsidP="2D821281">
            <w:r w:rsidRPr="00763DA4">
              <w:t>30</w:t>
            </w:r>
            <w:r w:rsidRPr="00763DA4">
              <w:rPr>
                <w:vertAlign w:val="superscript"/>
              </w:rPr>
              <w:t>th</w:t>
            </w:r>
            <w:r w:rsidRPr="00763DA4">
              <w:t xml:space="preserve"> August 2024</w:t>
            </w:r>
          </w:p>
        </w:tc>
      </w:tr>
    </w:tbl>
    <w:p w14:paraId="1033F732" w14:textId="77777777" w:rsidR="00273EF0" w:rsidRPr="00A90C3E" w:rsidRDefault="00273EF0" w:rsidP="00653BF5">
      <w:pPr>
        <w:rPr>
          <w:rFonts w:cstheme="minorHAnsi"/>
        </w:rPr>
      </w:pPr>
    </w:p>
    <w:p w14:paraId="4BDA9032" w14:textId="59F6FEFD" w:rsidR="007A43CB" w:rsidRPr="00D451E4" w:rsidRDefault="001B6883" w:rsidP="00D451E4">
      <w:pPr>
        <w:pStyle w:val="ListParagraph"/>
        <w:numPr>
          <w:ilvl w:val="0"/>
          <w:numId w:val="8"/>
        </w:numPr>
        <w:jc w:val="both"/>
        <w:rPr>
          <w:rStyle w:val="Strong"/>
        </w:rPr>
      </w:pPr>
      <w:r w:rsidRPr="00D451E4">
        <w:rPr>
          <w:rStyle w:val="Strong"/>
        </w:rPr>
        <w:t>Executive Summary</w:t>
      </w:r>
    </w:p>
    <w:p w14:paraId="43D78F8D" w14:textId="6C386DD6" w:rsidR="00347FD1" w:rsidRPr="00A90C3E" w:rsidRDefault="00347FD1" w:rsidP="00347FD1">
      <w:pPr>
        <w:ind w:left="-450"/>
        <w:jc w:val="both"/>
        <w:rPr>
          <w:color w:val="000000" w:themeColor="text1"/>
        </w:rPr>
      </w:pPr>
      <w:r w:rsidRPr="00A90C3E">
        <w:rPr>
          <w:color w:val="000000" w:themeColor="text1"/>
        </w:rPr>
        <w:t xml:space="preserve">The Clinton Health Access Initiative, (CHAI) is a sub-grantee of FHI360 on the Meeting Targets and Maintaining Epidemic Control (EpiC) project, a global </w:t>
      </w:r>
      <w:r w:rsidR="00C32F5A" w:rsidRPr="00A90C3E">
        <w:rPr>
          <w:color w:val="000000" w:themeColor="text1"/>
        </w:rPr>
        <w:t>eight</w:t>
      </w:r>
      <w:r w:rsidRPr="00A90C3E">
        <w:rPr>
          <w:color w:val="000000" w:themeColor="text1"/>
        </w:rPr>
        <w:t>-year project funded by the U.S. Agency for International Development (USAID). EpiC receive</w:t>
      </w:r>
      <w:r w:rsidR="00E37E5C">
        <w:rPr>
          <w:color w:val="000000" w:themeColor="text1"/>
        </w:rPr>
        <w:t>d</w:t>
      </w:r>
      <w:r w:rsidRPr="00A90C3E">
        <w:rPr>
          <w:color w:val="000000" w:themeColor="text1"/>
        </w:rPr>
        <w:t xml:space="preserve"> COVID-19 funding to prevent, prepare for, respond to and bolster health systems to address COVID-19 and reduce cases of re-emergence. Part of EpiC’s COVID-19 program is to provide high-quality medical oxygen systems.</w:t>
      </w:r>
      <w:r w:rsidRPr="00A90C3E">
        <w:rPr>
          <w:color w:val="C00000"/>
        </w:rPr>
        <w:t xml:space="preserve"> </w:t>
      </w:r>
      <w:r w:rsidRPr="00A90C3E">
        <w:rPr>
          <w:color w:val="000000" w:themeColor="text1"/>
        </w:rPr>
        <w:t>FHI360 is the prime implementing partner for EpiC.</w:t>
      </w:r>
    </w:p>
    <w:p w14:paraId="07CA80DD" w14:textId="77777777" w:rsidR="00476B46" w:rsidRDefault="2A7444E5" w:rsidP="360DA3F4">
      <w:pPr>
        <w:ind w:left="-450"/>
        <w:jc w:val="both"/>
      </w:pPr>
      <w:r>
        <w:t xml:space="preserve">CHAI seeks interested and capable vendors to submit bids for the </w:t>
      </w:r>
      <w:r w:rsidR="00763DA4">
        <w:t>12-month</w:t>
      </w:r>
      <w:r>
        <w:t xml:space="preserve"> supply of medical liquid oxygen (mLOX), Liquid to Gas (L2G) filling systems operations, and associated capacity building at Cliniques Universitaires de Kinshasa (CUK) in the Democratic Republic of Congo (DRC) as detailed in the Product information (Annex A) of this ITB. </w:t>
      </w:r>
    </w:p>
    <w:p w14:paraId="3BBC8964" w14:textId="18F4E3F4" w:rsidR="00476B46" w:rsidRPr="00476B46" w:rsidRDefault="2A7444E5" w:rsidP="00476B46">
      <w:pPr>
        <w:ind w:left="-450"/>
        <w:jc w:val="both"/>
      </w:pPr>
      <w:r>
        <w:t xml:space="preserve">In this solicitation, EpiC </w:t>
      </w:r>
      <w:r w:rsidRPr="00763DA4">
        <w:rPr>
          <w:b/>
          <w:bCs/>
          <w:u w:val="single"/>
        </w:rPr>
        <w:t>may</w:t>
      </w:r>
      <w:r>
        <w:t xml:space="preserve"> provide capital financing for procurement of complementary infrastructure, including (but not limited to) cryogenic transport vessels, transport vehicles, road tankers, etc., if vendors indicate such a need. </w:t>
      </w:r>
      <w:r w:rsidR="00476B46" w:rsidRPr="00476B46">
        <w:t>EpiC will use the information provided by respondents to support strategic decisions and planning within the EpiC portfolio. The aim of capital financing is to identify opportunities to assist local suppliers in increasing the availability and affordability of medical oxygen in the DRC. Companies are invited to submit proposals detailing the capacity for medical oxygen they could offer with additional support, along with the specific support required. Proposals should clarify any financial support needs and provide detailed cost estimates for all elements of the proposal. Recommended components of proposals include: value proposition and expected impact, vision for a business model that supports increased availability and affordability of liquid oxygen in the DRC, proposed activities, deliverables, and timeline, estimated funding needs and support requirements, relevant partnerships and roles, key staff bios, and any applicable qualifications, restrictions, or conditions.</w:t>
      </w:r>
    </w:p>
    <w:p w14:paraId="0D387BCE" w14:textId="0A3B6A13" w:rsidR="003E3E68" w:rsidRDefault="2A7444E5" w:rsidP="360DA3F4">
      <w:pPr>
        <w:ind w:left="-450"/>
        <w:jc w:val="both"/>
      </w:pPr>
      <w:r>
        <w:t xml:space="preserve">When preparing your ITB please be guided by the technical specifications and details attached as Annex B and CHAI code of conduct and ethics for suppliers in Annex C. </w:t>
      </w:r>
    </w:p>
    <w:p w14:paraId="2FDA3668" w14:textId="04964CA7" w:rsidR="001B6883" w:rsidRPr="00D451E4" w:rsidRDefault="001B6883" w:rsidP="00D451E4">
      <w:pPr>
        <w:pStyle w:val="ListParagraph"/>
        <w:numPr>
          <w:ilvl w:val="0"/>
          <w:numId w:val="8"/>
        </w:numPr>
        <w:jc w:val="both"/>
        <w:rPr>
          <w:rStyle w:val="Strong"/>
        </w:rPr>
      </w:pPr>
      <w:r w:rsidRPr="00D451E4">
        <w:rPr>
          <w:rStyle w:val="Strong"/>
        </w:rPr>
        <w:t>Project Overview</w:t>
      </w:r>
    </w:p>
    <w:p w14:paraId="09D9C767" w14:textId="32EE72DE" w:rsidR="26F632B0" w:rsidRDefault="2A7444E5" w:rsidP="2A7444E5">
      <w:pPr>
        <w:ind w:left="-450"/>
        <w:jc w:val="both"/>
      </w:pPr>
      <w:r>
        <w:t>Cliniques Universitaires de Kinshasa (CUK) is a tertiary facility in Kinshasa where there are plans to introduce mLOX</w:t>
      </w:r>
      <w:r w:rsidR="000D3CA2">
        <w:t>. T</w:t>
      </w:r>
      <w:r>
        <w:t xml:space="preserve">wo cryogenic tanks will be installed </w:t>
      </w:r>
      <w:r w:rsidR="000D3CA2">
        <w:t>at the facility and</w:t>
      </w:r>
      <w:r>
        <w:t xml:space="preserve"> mLOx will be piped to the </w:t>
      </w:r>
      <w:r w:rsidR="00E163DE">
        <w:t>patient’s</w:t>
      </w:r>
      <w:r>
        <w:t xml:space="preserve"> bedside from tank one, while the second tank will be used to fill cylinders for a catchment area. Consequently, two VIE tanks, high-pressure and ambient vaporizers, cryogenic pumps, regulators, filling manifolds, telemetry </w:t>
      </w:r>
      <w:r>
        <w:lastRenderedPageBreak/>
        <w:t xml:space="preserve">systems, tank civils, installation, </w:t>
      </w:r>
      <w:r w:rsidR="000D3CA2">
        <w:t>commissioning,</w:t>
      </w:r>
      <w:r>
        <w:t xml:space="preserve"> and maintenance are being sourced from pre-selected vendors in a separate </w:t>
      </w:r>
      <w:r w:rsidR="000D3CA2">
        <w:t xml:space="preserve">previous </w:t>
      </w:r>
      <w:r>
        <w:t xml:space="preserve">solicitation. </w:t>
      </w:r>
    </w:p>
    <w:p w14:paraId="7AE9631B" w14:textId="41737DAC" w:rsidR="001B6883" w:rsidRPr="00D451E4" w:rsidRDefault="001B6883" w:rsidP="00D451E4">
      <w:pPr>
        <w:pStyle w:val="ListParagraph"/>
        <w:numPr>
          <w:ilvl w:val="0"/>
          <w:numId w:val="8"/>
        </w:numPr>
        <w:jc w:val="both"/>
        <w:rPr>
          <w:rStyle w:val="Strong"/>
        </w:rPr>
      </w:pPr>
      <w:r w:rsidRPr="00D451E4">
        <w:rPr>
          <w:rStyle w:val="Strong"/>
        </w:rPr>
        <w:t>Scope of work</w:t>
      </w:r>
    </w:p>
    <w:p w14:paraId="7C19A213" w14:textId="645C340C" w:rsidR="26F632B0" w:rsidRDefault="000D3CA2" w:rsidP="2B6D6E21">
      <w:pPr>
        <w:ind w:left="-450"/>
        <w:jc w:val="both"/>
      </w:pPr>
      <w:r>
        <w:t xml:space="preserve">In this current </w:t>
      </w:r>
      <w:r w:rsidRPr="000D3CA2">
        <w:t>solicitation - ITB/CHAI/LOxF/DRC/0124</w:t>
      </w:r>
      <w:r>
        <w:rPr>
          <w:b/>
          <w:bCs/>
        </w:rPr>
        <w:t xml:space="preserve"> - </w:t>
      </w:r>
      <w:r>
        <w:t>c</w:t>
      </w:r>
      <w:r w:rsidR="2B6D6E21">
        <w:t xml:space="preserve">ompanies are invited to submit bids on how to provide a steady 12-month supply of mLOX to fill both </w:t>
      </w:r>
      <w:r w:rsidR="00CC4C4F">
        <w:t>above-mentioned</w:t>
      </w:r>
      <w:r>
        <w:t xml:space="preserve"> </w:t>
      </w:r>
      <w:r w:rsidR="2B6D6E21">
        <w:t>VIE tanks</w:t>
      </w:r>
      <w:r w:rsidR="00F2081C">
        <w:t xml:space="preserve"> (Lot 1)</w:t>
      </w:r>
      <w:r>
        <w:t>.</w:t>
      </w:r>
      <w:r w:rsidR="2B6D6E21">
        <w:t xml:space="preserve"> The summary of tank sizes and mLOx demand can be found in the table below. Companies are also being invited to submit bids to offer an L2G cylinder filling operation service and capacity building </w:t>
      </w:r>
      <w:r>
        <w:t xml:space="preserve">of local staff </w:t>
      </w:r>
      <w:r w:rsidR="2B6D6E21">
        <w:t>to make gaseous oxygen available to facilities in a selected catchment area over 12 months</w:t>
      </w:r>
      <w:r w:rsidR="00F2081C">
        <w:t xml:space="preserve"> (Lot 2)</w:t>
      </w:r>
      <w:r w:rsidR="2B6D6E21">
        <w:t>. Companies can respond to either or both L</w:t>
      </w:r>
      <w:r>
        <w:t>ots</w:t>
      </w:r>
      <w:r w:rsidR="2B6D6E21">
        <w:t>. A suggestive illustration of the mLOX supply chain of custody is given in Annex D below.</w:t>
      </w:r>
    </w:p>
    <w:p w14:paraId="0635A0C3" w14:textId="3D3AE3D8" w:rsidR="0898367B" w:rsidRPr="002D023D" w:rsidRDefault="2B6D6E21" w:rsidP="00763DA4">
      <w:pPr>
        <w:spacing w:after="0"/>
        <w:jc w:val="both"/>
        <w:rPr>
          <w:rFonts w:ascii="Calibri" w:eastAsia="Calibri" w:hAnsi="Calibri" w:cs="Calibri"/>
          <w:color w:val="000000" w:themeColor="text1"/>
        </w:rPr>
      </w:pPr>
      <w:r w:rsidRPr="002D023D">
        <w:rPr>
          <w:rFonts w:ascii="Calibri" w:eastAsia="Calibri" w:hAnsi="Calibri" w:cs="Calibri"/>
          <w:i/>
          <w:iCs/>
          <w:color w:val="000000" w:themeColor="text1"/>
          <w:lang w:val="en-GB"/>
        </w:rPr>
        <w:t xml:space="preserve">LOX </w:t>
      </w:r>
      <w:r w:rsidR="000D3CA2" w:rsidRPr="002D023D">
        <w:rPr>
          <w:rFonts w:ascii="Calibri" w:eastAsia="Calibri" w:hAnsi="Calibri" w:cs="Calibri"/>
          <w:i/>
          <w:iCs/>
          <w:color w:val="000000" w:themeColor="text1"/>
          <w:lang w:val="en-GB"/>
        </w:rPr>
        <w:t>d</w:t>
      </w:r>
      <w:r w:rsidRPr="002D023D">
        <w:rPr>
          <w:rFonts w:ascii="Calibri" w:eastAsia="Calibri" w:hAnsi="Calibri" w:cs="Calibri"/>
          <w:i/>
          <w:iCs/>
          <w:color w:val="000000" w:themeColor="text1"/>
          <w:lang w:val="en-GB"/>
        </w:rPr>
        <w:t>emand per facility</w:t>
      </w:r>
    </w:p>
    <w:tbl>
      <w:tblPr>
        <w:tblStyle w:val="TableGridLigh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10"/>
        <w:gridCol w:w="1890"/>
        <w:gridCol w:w="3240"/>
      </w:tblGrid>
      <w:tr w:rsidR="7788D7A8" w:rsidRPr="002D023D" w14:paraId="1BAC2364" w14:textId="77777777" w:rsidTr="2A7444E5">
        <w:trPr>
          <w:trHeight w:val="285"/>
        </w:trPr>
        <w:tc>
          <w:tcPr>
            <w:tcW w:w="3810" w:type="dxa"/>
            <w:tcMar>
              <w:left w:w="105" w:type="dxa"/>
              <w:right w:w="105" w:type="dxa"/>
            </w:tcMar>
            <w:vAlign w:val="center"/>
          </w:tcPr>
          <w:p w14:paraId="67F95679" w14:textId="656FC2CB" w:rsidR="7788D7A8" w:rsidRPr="002D023D" w:rsidRDefault="7788D7A8" w:rsidP="00763DA4">
            <w:pPr>
              <w:spacing w:line="259" w:lineRule="auto"/>
              <w:rPr>
                <w:rFonts w:ascii="Calibri" w:eastAsia="Calibri" w:hAnsi="Calibri" w:cs="Calibri"/>
              </w:rPr>
            </w:pPr>
            <w:r w:rsidRPr="002D023D">
              <w:rPr>
                <w:rFonts w:ascii="Calibri" w:eastAsia="Calibri" w:hAnsi="Calibri" w:cs="Calibri"/>
                <w:b/>
                <w:bCs/>
                <w:lang w:val="en-GB"/>
              </w:rPr>
              <w:t>Health Facility</w:t>
            </w:r>
          </w:p>
        </w:tc>
        <w:tc>
          <w:tcPr>
            <w:tcW w:w="1890" w:type="dxa"/>
            <w:tcMar>
              <w:left w:w="105" w:type="dxa"/>
              <w:right w:w="105" w:type="dxa"/>
            </w:tcMar>
            <w:vAlign w:val="center"/>
          </w:tcPr>
          <w:p w14:paraId="08CC8B23" w14:textId="1D04D6FB" w:rsidR="7788D7A8" w:rsidRPr="002D023D" w:rsidRDefault="7788D7A8" w:rsidP="00763DA4">
            <w:pPr>
              <w:spacing w:line="259" w:lineRule="auto"/>
              <w:jc w:val="center"/>
              <w:rPr>
                <w:rFonts w:ascii="Calibri" w:eastAsia="Calibri" w:hAnsi="Calibri" w:cs="Calibri"/>
              </w:rPr>
            </w:pPr>
            <w:r w:rsidRPr="002D023D">
              <w:rPr>
                <w:rFonts w:ascii="Calibri" w:eastAsia="Calibri" w:hAnsi="Calibri" w:cs="Calibri"/>
                <w:b/>
                <w:bCs/>
                <w:lang w:val="en-GB"/>
              </w:rPr>
              <w:t>Bulk mLOX tank size (Tons)</w:t>
            </w:r>
          </w:p>
        </w:tc>
        <w:tc>
          <w:tcPr>
            <w:tcW w:w="3240" w:type="dxa"/>
            <w:tcMar>
              <w:left w:w="105" w:type="dxa"/>
              <w:right w:w="105" w:type="dxa"/>
            </w:tcMar>
            <w:vAlign w:val="center"/>
          </w:tcPr>
          <w:p w14:paraId="3F36A403" w14:textId="6FC89D26" w:rsidR="7788D7A8" w:rsidRPr="002D023D" w:rsidRDefault="7788D7A8" w:rsidP="00763DA4">
            <w:pPr>
              <w:spacing w:line="259" w:lineRule="auto"/>
              <w:jc w:val="center"/>
              <w:rPr>
                <w:rFonts w:ascii="Calibri" w:eastAsia="Calibri" w:hAnsi="Calibri" w:cs="Calibri"/>
              </w:rPr>
            </w:pPr>
            <w:r w:rsidRPr="002D023D">
              <w:rPr>
                <w:rFonts w:ascii="Calibri" w:eastAsia="Calibri" w:hAnsi="Calibri" w:cs="Calibri"/>
                <w:b/>
                <w:bCs/>
                <w:lang w:val="en-GB"/>
              </w:rPr>
              <w:t>Estimated mLOX demand per month (Ton of Liquid)</w:t>
            </w:r>
          </w:p>
        </w:tc>
      </w:tr>
      <w:tr w:rsidR="7788D7A8" w:rsidRPr="002D023D" w14:paraId="18E1A2BC" w14:textId="77777777" w:rsidTr="2A7444E5">
        <w:trPr>
          <w:trHeight w:val="285"/>
        </w:trPr>
        <w:tc>
          <w:tcPr>
            <w:tcW w:w="3810" w:type="dxa"/>
            <w:tcMar>
              <w:left w:w="105" w:type="dxa"/>
              <w:right w:w="105" w:type="dxa"/>
            </w:tcMar>
          </w:tcPr>
          <w:p w14:paraId="208DC568" w14:textId="68F34E60" w:rsidR="7788D7A8" w:rsidRPr="00476B46" w:rsidRDefault="7788D7A8" w:rsidP="7788D7A8">
            <w:pPr>
              <w:spacing w:line="259" w:lineRule="auto"/>
              <w:rPr>
                <w:rFonts w:ascii="Calibri" w:eastAsia="Calibri" w:hAnsi="Calibri" w:cs="Calibri"/>
                <w:lang w:val="fr-FR"/>
              </w:rPr>
            </w:pPr>
            <w:r w:rsidRPr="00476B46">
              <w:rPr>
                <w:rFonts w:ascii="Calibri" w:eastAsia="Calibri" w:hAnsi="Calibri" w:cs="Calibri"/>
                <w:lang w:val="fr-FR"/>
              </w:rPr>
              <w:t xml:space="preserve">VIE tank </w:t>
            </w:r>
            <w:r w:rsidR="00D418A2" w:rsidRPr="00476B46">
              <w:rPr>
                <w:rFonts w:ascii="Calibri" w:eastAsia="Calibri" w:hAnsi="Calibri" w:cs="Calibri"/>
                <w:lang w:val="fr-FR"/>
              </w:rPr>
              <w:t>one</w:t>
            </w:r>
            <w:r w:rsidRPr="00476B46">
              <w:rPr>
                <w:rFonts w:ascii="Calibri" w:eastAsia="Calibri" w:hAnsi="Calibri" w:cs="Calibri"/>
                <w:lang w:val="fr-FR"/>
              </w:rPr>
              <w:t xml:space="preserve"> for Cliniques Universitaires de Kinshasa</w:t>
            </w:r>
          </w:p>
        </w:tc>
        <w:tc>
          <w:tcPr>
            <w:tcW w:w="1890" w:type="dxa"/>
            <w:tcMar>
              <w:left w:w="105" w:type="dxa"/>
              <w:right w:w="105" w:type="dxa"/>
            </w:tcMar>
          </w:tcPr>
          <w:p w14:paraId="4A2E5B33" w14:textId="62E19879" w:rsidR="7788D7A8" w:rsidRPr="002D023D" w:rsidRDefault="7788D7A8" w:rsidP="00763DA4">
            <w:pPr>
              <w:spacing w:line="259" w:lineRule="auto"/>
              <w:jc w:val="center"/>
              <w:rPr>
                <w:rFonts w:ascii="Calibri" w:eastAsia="Calibri" w:hAnsi="Calibri" w:cs="Calibri"/>
                <w:lang w:val="en-GB"/>
              </w:rPr>
            </w:pPr>
            <w:r w:rsidRPr="002D023D">
              <w:rPr>
                <w:rFonts w:ascii="Calibri" w:eastAsia="Calibri" w:hAnsi="Calibri" w:cs="Calibri"/>
                <w:lang w:val="en-GB"/>
              </w:rPr>
              <w:t>20</w:t>
            </w:r>
          </w:p>
        </w:tc>
        <w:tc>
          <w:tcPr>
            <w:tcW w:w="3240" w:type="dxa"/>
            <w:tcMar>
              <w:left w:w="105" w:type="dxa"/>
              <w:right w:w="105" w:type="dxa"/>
            </w:tcMar>
          </w:tcPr>
          <w:p w14:paraId="752B5C27" w14:textId="013A4DF8" w:rsidR="7788D7A8" w:rsidRPr="002D023D" w:rsidRDefault="7788D7A8" w:rsidP="00763DA4">
            <w:pPr>
              <w:spacing w:line="259" w:lineRule="auto"/>
              <w:jc w:val="center"/>
              <w:rPr>
                <w:rFonts w:ascii="Calibri" w:eastAsia="Calibri" w:hAnsi="Calibri" w:cs="Calibri"/>
                <w:lang w:val="en-GB"/>
              </w:rPr>
            </w:pPr>
            <w:r w:rsidRPr="002D023D">
              <w:rPr>
                <w:rFonts w:ascii="Calibri" w:eastAsia="Calibri" w:hAnsi="Calibri" w:cs="Calibri"/>
                <w:lang w:val="en-GB"/>
              </w:rPr>
              <w:t>12</w:t>
            </w:r>
          </w:p>
        </w:tc>
      </w:tr>
      <w:tr w:rsidR="7788D7A8" w:rsidRPr="002D023D" w14:paraId="10831928" w14:textId="77777777" w:rsidTr="2A7444E5">
        <w:trPr>
          <w:trHeight w:val="285"/>
        </w:trPr>
        <w:tc>
          <w:tcPr>
            <w:tcW w:w="3810" w:type="dxa"/>
            <w:tcMar>
              <w:left w:w="105" w:type="dxa"/>
              <w:right w:w="105" w:type="dxa"/>
            </w:tcMar>
          </w:tcPr>
          <w:p w14:paraId="4A782C71" w14:textId="31FB3FE2" w:rsidR="7788D7A8" w:rsidRPr="002D023D" w:rsidRDefault="2A7444E5" w:rsidP="2A7444E5">
            <w:pPr>
              <w:spacing w:line="259" w:lineRule="auto"/>
              <w:rPr>
                <w:rFonts w:ascii="Calibri" w:eastAsia="Calibri" w:hAnsi="Calibri" w:cs="Calibri"/>
                <w:lang w:val="en-GB"/>
              </w:rPr>
            </w:pPr>
            <w:r w:rsidRPr="002D023D">
              <w:rPr>
                <w:rFonts w:ascii="Calibri" w:eastAsia="Calibri" w:hAnsi="Calibri" w:cs="Calibri"/>
                <w:lang w:val="en-GB"/>
              </w:rPr>
              <w:t xml:space="preserve">VIE tank </w:t>
            </w:r>
            <w:r w:rsidR="00D418A2" w:rsidRPr="002D023D">
              <w:rPr>
                <w:rFonts w:ascii="Calibri" w:eastAsia="Calibri" w:hAnsi="Calibri" w:cs="Calibri"/>
                <w:lang w:val="en-GB"/>
              </w:rPr>
              <w:t>two</w:t>
            </w:r>
            <w:r w:rsidRPr="002D023D">
              <w:rPr>
                <w:rFonts w:ascii="Calibri" w:eastAsia="Calibri" w:hAnsi="Calibri" w:cs="Calibri"/>
                <w:lang w:val="en-GB"/>
              </w:rPr>
              <w:t xml:space="preserve"> for filling station</w:t>
            </w:r>
          </w:p>
        </w:tc>
        <w:tc>
          <w:tcPr>
            <w:tcW w:w="1890" w:type="dxa"/>
            <w:tcMar>
              <w:left w:w="105" w:type="dxa"/>
              <w:right w:w="105" w:type="dxa"/>
            </w:tcMar>
          </w:tcPr>
          <w:p w14:paraId="517964FD" w14:textId="345120C9" w:rsidR="7788D7A8" w:rsidRPr="002D023D" w:rsidRDefault="7788D7A8" w:rsidP="00763DA4">
            <w:pPr>
              <w:spacing w:line="259" w:lineRule="auto"/>
              <w:jc w:val="center"/>
              <w:rPr>
                <w:rFonts w:ascii="Calibri" w:eastAsia="Calibri" w:hAnsi="Calibri" w:cs="Calibri"/>
              </w:rPr>
            </w:pPr>
            <w:r w:rsidRPr="002D023D">
              <w:rPr>
                <w:rFonts w:ascii="Calibri" w:eastAsia="Calibri" w:hAnsi="Calibri" w:cs="Calibri"/>
                <w:lang w:val="en-GB"/>
              </w:rPr>
              <w:t>20</w:t>
            </w:r>
          </w:p>
        </w:tc>
        <w:tc>
          <w:tcPr>
            <w:tcW w:w="3240" w:type="dxa"/>
            <w:tcMar>
              <w:left w:w="105" w:type="dxa"/>
              <w:right w:w="105" w:type="dxa"/>
            </w:tcMar>
          </w:tcPr>
          <w:p w14:paraId="2D848AA2" w14:textId="086AF30B" w:rsidR="7788D7A8" w:rsidRPr="002D023D" w:rsidRDefault="7788D7A8" w:rsidP="00763DA4">
            <w:pPr>
              <w:spacing w:line="259" w:lineRule="auto"/>
              <w:jc w:val="center"/>
              <w:rPr>
                <w:rFonts w:ascii="Calibri" w:eastAsia="Calibri" w:hAnsi="Calibri" w:cs="Calibri"/>
                <w:lang w:val="en-GB"/>
              </w:rPr>
            </w:pPr>
            <w:r w:rsidRPr="002D023D">
              <w:rPr>
                <w:rFonts w:ascii="Calibri" w:eastAsia="Calibri" w:hAnsi="Calibri" w:cs="Calibri"/>
                <w:lang w:val="en-GB"/>
              </w:rPr>
              <w:t>12</w:t>
            </w:r>
          </w:p>
        </w:tc>
      </w:tr>
    </w:tbl>
    <w:p w14:paraId="72D0C91A" w14:textId="77777777" w:rsidR="00F2081C" w:rsidRDefault="00F2081C" w:rsidP="00347FD1">
      <w:pPr>
        <w:ind w:left="-450"/>
        <w:jc w:val="both"/>
      </w:pPr>
    </w:p>
    <w:p w14:paraId="176F564A" w14:textId="7C5F65C9" w:rsidR="006E49D0" w:rsidRPr="00912630" w:rsidRDefault="0898367B" w:rsidP="00347FD1">
      <w:pPr>
        <w:ind w:left="-450"/>
        <w:jc w:val="both"/>
      </w:pPr>
      <w:r w:rsidRPr="002D023D">
        <w:t xml:space="preserve">Any information submitted in response to this ITB is provided to CHAI on a voluntary basis. CHAI shall not be under any obligation to procure any of the services or products described in this </w:t>
      </w:r>
      <w:r w:rsidR="00CC6E50" w:rsidRPr="002D023D">
        <w:t>document</w:t>
      </w:r>
      <w:r w:rsidRPr="002D023D">
        <w:t xml:space="preserve"> until necessary</w:t>
      </w:r>
      <w:r>
        <w:t xml:space="preserve"> technical and quality documentation has been provided, and a written contract is awarded and approved.</w:t>
      </w:r>
    </w:p>
    <w:p w14:paraId="7DBF7B7C" w14:textId="4CEAE811" w:rsidR="001B6883" w:rsidRPr="00D451E4" w:rsidRDefault="001B6883" w:rsidP="00D451E4">
      <w:pPr>
        <w:pStyle w:val="ListParagraph"/>
        <w:numPr>
          <w:ilvl w:val="0"/>
          <w:numId w:val="8"/>
        </w:numPr>
        <w:jc w:val="both"/>
        <w:rPr>
          <w:rStyle w:val="Strong"/>
        </w:rPr>
      </w:pPr>
      <w:r w:rsidRPr="00D451E4">
        <w:rPr>
          <w:rStyle w:val="Strong"/>
        </w:rPr>
        <w:t>Information session and Mandatory site visit</w:t>
      </w:r>
    </w:p>
    <w:p w14:paraId="224D17EA" w14:textId="77D0FA13" w:rsidR="001B6883" w:rsidRDefault="001B6883" w:rsidP="2B6D6E21">
      <w:pPr>
        <w:ind w:left="-450"/>
        <w:jc w:val="both"/>
      </w:pPr>
      <w:r>
        <w:rPr>
          <w:lang w:val="en-GB"/>
        </w:rPr>
        <w:t>A</w:t>
      </w:r>
      <w:r w:rsidRPr="2B6D6E21">
        <w:rPr>
          <w:lang w:val="en-GB"/>
        </w:rPr>
        <w:t xml:space="preserve">n open Q&amp;A session </w:t>
      </w:r>
      <w:r w:rsidR="2B6D6E21" w:rsidRPr="00763DA4">
        <w:rPr>
          <w:lang w:val="en-GB"/>
        </w:rPr>
        <w:t xml:space="preserve">will be conducted </w:t>
      </w:r>
      <w:r w:rsidR="2B6D6E21" w:rsidRPr="2B6D6E21">
        <w:rPr>
          <w:lang w:val="en-GB"/>
        </w:rPr>
        <w:t>on the 16</w:t>
      </w:r>
      <w:r w:rsidR="2B6D6E21" w:rsidRPr="2B6D6E21">
        <w:rPr>
          <w:vertAlign w:val="superscript"/>
          <w:lang w:val="en-GB"/>
        </w:rPr>
        <w:t>th</w:t>
      </w:r>
      <w:r w:rsidR="2B6D6E21" w:rsidRPr="2B6D6E21">
        <w:rPr>
          <w:lang w:val="en-GB"/>
        </w:rPr>
        <w:t xml:space="preserve"> of August 2024 and </w:t>
      </w:r>
      <w:r>
        <w:t>a</w:t>
      </w:r>
      <w:r w:rsidRPr="2B6D6E21">
        <w:t xml:space="preserve"> m</w:t>
      </w:r>
      <w:r w:rsidRPr="00763DA4">
        <w:rPr>
          <w:lang w:val="en-GB"/>
        </w:rPr>
        <w:t xml:space="preserve">andatory site visit </w:t>
      </w:r>
      <w:r w:rsidR="2B6D6E21" w:rsidRPr="2B6D6E21">
        <w:rPr>
          <w:lang w:val="en-GB"/>
        </w:rPr>
        <w:t>will follow</w:t>
      </w:r>
      <w:r>
        <w:rPr>
          <w:lang w:val="en-GB"/>
        </w:rPr>
        <w:t xml:space="preserve"> on the 21</w:t>
      </w:r>
      <w:r w:rsidRPr="00D451E4">
        <w:rPr>
          <w:vertAlign w:val="superscript"/>
          <w:lang w:val="en-GB"/>
        </w:rPr>
        <w:t>st</w:t>
      </w:r>
      <w:r>
        <w:rPr>
          <w:lang w:val="en-GB"/>
        </w:rPr>
        <w:t xml:space="preserve"> of August 2024</w:t>
      </w:r>
      <w:r w:rsidR="00F75B5B">
        <w:rPr>
          <w:lang w:val="en-GB"/>
        </w:rPr>
        <w:t xml:space="preserve"> at Cliniques Universitaires de Kinshasa</w:t>
      </w:r>
      <w:r w:rsidR="2B6D6E21" w:rsidRPr="2B6D6E21">
        <w:rPr>
          <w:lang w:val="en-GB"/>
        </w:rPr>
        <w:t xml:space="preserve">. </w:t>
      </w:r>
      <w:r w:rsidR="2B6D6E21" w:rsidRPr="00763DA4">
        <w:rPr>
          <w:lang w:val="en-GB"/>
        </w:rPr>
        <w:t xml:space="preserve">A site visit report will be required as part of bid submission. In the event of substantial reasons barring prospective bidders from attending the sites visit on the scheduled dates, detailed written notification must be sent via email to </w:t>
      </w:r>
      <w:hyperlink r:id="rId8" w:history="1">
        <w:r w:rsidR="00CC4C4F" w:rsidRPr="00CC4C4F">
          <w:rPr>
            <w:rStyle w:val="Hyperlink"/>
            <w:rFonts w:ascii="Calibri" w:hAnsi="Calibri" w:cs="Calibri"/>
          </w:rPr>
          <w:t>drcprocurement@clintonhealthaccess.org</w:t>
        </w:r>
      </w:hyperlink>
      <w:r w:rsidR="00CC4C4F">
        <w:rPr>
          <w:rFonts w:ascii="Calibri" w:hAnsi="Calibri" w:cs="Calibri"/>
        </w:rPr>
        <w:t>.</w:t>
      </w:r>
    </w:p>
    <w:p w14:paraId="4C313DCF" w14:textId="77777777" w:rsidR="001B6883" w:rsidRPr="00D451E4" w:rsidRDefault="001B6883" w:rsidP="001B6883">
      <w:pPr>
        <w:pStyle w:val="ListParagraph"/>
        <w:numPr>
          <w:ilvl w:val="0"/>
          <w:numId w:val="8"/>
        </w:numPr>
        <w:jc w:val="both"/>
        <w:rPr>
          <w:rStyle w:val="Strong"/>
        </w:rPr>
      </w:pPr>
      <w:r w:rsidRPr="00D451E4">
        <w:rPr>
          <w:rStyle w:val="Strong"/>
        </w:rPr>
        <w:t>Queries and clarifications</w:t>
      </w:r>
    </w:p>
    <w:p w14:paraId="265E42DD" w14:textId="27169F0B" w:rsidR="517A555C" w:rsidRDefault="2B6D6E21" w:rsidP="001B6883">
      <w:pPr>
        <w:ind w:left="-450"/>
        <w:jc w:val="both"/>
      </w:pPr>
      <w:r>
        <w:t xml:space="preserve">Any notifications, queries or clarifications on this ITB should be submitted via the email </w:t>
      </w:r>
      <w:hyperlink r:id="rId9" w:history="1"/>
      <w:hyperlink r:id="rId10" w:history="1">
        <w:r w:rsidR="00CC4C4F" w:rsidRPr="00CC4C4F">
          <w:rPr>
            <w:rStyle w:val="Hyperlink"/>
            <w:rFonts w:ascii="Calibri" w:hAnsi="Calibri" w:cs="Calibri"/>
          </w:rPr>
          <w:t>drcprocurement@clintonhealthaccess.org</w:t>
        </w:r>
      </w:hyperlink>
      <w:r>
        <w:t xml:space="preserve"> quoting ITB/CHAI/</w:t>
      </w:r>
      <w:proofErr w:type="spellStart"/>
      <w:r>
        <w:t>LOxF</w:t>
      </w:r>
      <w:proofErr w:type="spellEnd"/>
      <w:r>
        <w:t xml:space="preserve">/DRC/0124 in the subject line by 12 midnight </w:t>
      </w:r>
      <w:bookmarkStart w:id="0" w:name="_Hlk146181398"/>
      <w:r>
        <w:t xml:space="preserve">GMT+1 </w:t>
      </w:r>
      <w:bookmarkEnd w:id="0"/>
      <w:r w:rsidRPr="00763DA4">
        <w:t>o</w:t>
      </w:r>
      <w:r w:rsidR="000E2245">
        <w:t>n or before</w:t>
      </w:r>
      <w:r w:rsidRPr="00763DA4">
        <w:t xml:space="preserve"> the 23</w:t>
      </w:r>
      <w:r w:rsidRPr="001B6883">
        <w:rPr>
          <w:vertAlign w:val="superscript"/>
        </w:rPr>
        <w:t>rd</w:t>
      </w:r>
      <w:r w:rsidRPr="00763DA4">
        <w:t xml:space="preserve"> of August 2024.</w:t>
      </w:r>
      <w:r>
        <w:t xml:space="preserve">  Responses will be shared via all ITB solicitation channels, as well as in email replies.</w:t>
      </w:r>
    </w:p>
    <w:p w14:paraId="7BF1B345" w14:textId="068C507C" w:rsidR="001B6883" w:rsidRPr="00D451E4" w:rsidRDefault="001B6883" w:rsidP="00D451E4">
      <w:pPr>
        <w:pStyle w:val="ListParagraph"/>
        <w:numPr>
          <w:ilvl w:val="0"/>
          <w:numId w:val="8"/>
        </w:numPr>
        <w:jc w:val="both"/>
        <w:rPr>
          <w:rStyle w:val="Strong"/>
        </w:rPr>
      </w:pPr>
      <w:r w:rsidRPr="00D451E4">
        <w:rPr>
          <w:rStyle w:val="Strong"/>
        </w:rPr>
        <w:t>Submission guidelines</w:t>
      </w:r>
    </w:p>
    <w:p w14:paraId="06EBF62C" w14:textId="18D5FB6C" w:rsidR="003E3E68" w:rsidRPr="00912630" w:rsidRDefault="4A073FD9" w:rsidP="6A5D3382">
      <w:pPr>
        <w:ind w:left="-450"/>
        <w:jc w:val="both"/>
      </w:pPr>
      <w:r w:rsidRPr="00912630">
        <w:t>Quotations/bids m</w:t>
      </w:r>
      <w:r w:rsidR="2F99EC7D" w:rsidRPr="00912630">
        <w:t>ust</w:t>
      </w:r>
      <w:r w:rsidRPr="00912630">
        <w:t xml:space="preserve"> be </w:t>
      </w:r>
      <w:r w:rsidR="38CC7917" w:rsidRPr="00912630">
        <w:t>submitted</w:t>
      </w:r>
      <w:r w:rsidRPr="00912630">
        <w:t xml:space="preserve"> on or before 1</w:t>
      </w:r>
      <w:r w:rsidR="38CC7917" w:rsidRPr="00912630">
        <w:t>2 midnight</w:t>
      </w:r>
      <w:r w:rsidR="000A5927">
        <w:t xml:space="preserve"> </w:t>
      </w:r>
      <w:r w:rsidR="000A5927" w:rsidRPr="00912630">
        <w:t xml:space="preserve">GMT+1 </w:t>
      </w:r>
      <w:r w:rsidR="3A7DBA2B" w:rsidRPr="00912630">
        <w:t>on</w:t>
      </w:r>
      <w:r w:rsidR="38CC7917" w:rsidRPr="00912630">
        <w:t xml:space="preserve"> </w:t>
      </w:r>
      <w:r w:rsidR="4B523C42" w:rsidRPr="00912630">
        <w:t>the 30</w:t>
      </w:r>
      <w:r w:rsidR="4B523C42" w:rsidRPr="00763DA4">
        <w:rPr>
          <w:vertAlign w:val="superscript"/>
        </w:rPr>
        <w:t>th</w:t>
      </w:r>
      <w:r w:rsidR="4B523C42" w:rsidRPr="00763DA4">
        <w:t xml:space="preserve"> </w:t>
      </w:r>
      <w:r w:rsidR="4A82673E" w:rsidRPr="00763DA4">
        <w:t xml:space="preserve">of August </w:t>
      </w:r>
      <w:r w:rsidR="6F281890" w:rsidRPr="00763DA4">
        <w:t>2024</w:t>
      </w:r>
      <w:r w:rsidR="17B49B8D" w:rsidRPr="00763DA4">
        <w:t xml:space="preserve"> </w:t>
      </w:r>
      <w:r w:rsidR="38CC7917" w:rsidRPr="00763DA4">
        <w:t>via</w:t>
      </w:r>
      <w:r w:rsidR="38CC7917" w:rsidRPr="00912630">
        <w:t xml:space="preserve"> the email </w:t>
      </w:r>
      <w:r w:rsidR="2B6D6E21" w:rsidRPr="2B6D6E21">
        <w:rPr>
          <w:rFonts w:ascii="Calibri" w:eastAsia="Calibri" w:hAnsi="Calibri" w:cs="Calibri"/>
          <w:color w:val="000000" w:themeColor="text1"/>
          <w:u w:val="single"/>
        </w:rPr>
        <w:t xml:space="preserve"> </w:t>
      </w:r>
      <w:hyperlink r:id="rId11" w:history="1">
        <w:r w:rsidR="00CC4C4F" w:rsidRPr="00CC4C4F">
          <w:rPr>
            <w:rStyle w:val="Hyperlink"/>
            <w:rFonts w:ascii="Calibri" w:hAnsi="Calibri" w:cs="Calibri"/>
          </w:rPr>
          <w:t>drcprocurement@clintonhealthaccess.org</w:t>
        </w:r>
      </w:hyperlink>
      <w:r w:rsidR="38CC7917" w:rsidRPr="00912630">
        <w:t xml:space="preserve"> </w:t>
      </w:r>
      <w:r w:rsidR="04800593" w:rsidRPr="00912630">
        <w:t xml:space="preserve">quoting </w:t>
      </w:r>
      <w:r w:rsidR="2B6D6E21" w:rsidRPr="00763DA4">
        <w:t>ITB</w:t>
      </w:r>
      <w:r w:rsidR="7337462C" w:rsidRPr="00763DA4">
        <w:t>/CHAI/</w:t>
      </w:r>
      <w:r w:rsidR="3526B907" w:rsidRPr="00763DA4">
        <w:t>LOx</w:t>
      </w:r>
      <w:r w:rsidR="2B6D6E21" w:rsidRPr="00763DA4">
        <w:t>F</w:t>
      </w:r>
      <w:r w:rsidR="0DBC7300" w:rsidRPr="00763DA4">
        <w:t>/DRC</w:t>
      </w:r>
      <w:r w:rsidR="7337462C" w:rsidRPr="00763DA4">
        <w:t>/012</w:t>
      </w:r>
      <w:r w:rsidR="2B6D6E21" w:rsidRPr="00763DA4">
        <w:t>4</w:t>
      </w:r>
      <w:r w:rsidR="7337462C" w:rsidRPr="00763DA4">
        <w:rPr>
          <w:b/>
          <w:bCs/>
        </w:rPr>
        <w:t xml:space="preserve"> </w:t>
      </w:r>
      <w:r w:rsidR="04800593" w:rsidRPr="00763DA4">
        <w:t>in the subject</w:t>
      </w:r>
      <w:r w:rsidR="04800593" w:rsidRPr="00912630">
        <w:t xml:space="preserve"> line</w:t>
      </w:r>
      <w:r w:rsidR="38CC7917" w:rsidRPr="00912630">
        <w:t xml:space="preserve">. </w:t>
      </w:r>
      <w:r w:rsidR="1B1AC613" w:rsidRPr="00912630">
        <w:t>S</w:t>
      </w:r>
      <w:r w:rsidR="04800593" w:rsidRPr="00912630">
        <w:t>hould</w:t>
      </w:r>
      <w:r w:rsidR="38CC7917" w:rsidRPr="00912630">
        <w:t xml:space="preserve"> your submission exceed 2Mb and </w:t>
      </w:r>
      <w:r w:rsidR="04800593" w:rsidRPr="00912630">
        <w:t>cannot</w:t>
      </w:r>
      <w:r w:rsidR="38CC7917" w:rsidRPr="00912630">
        <w:t xml:space="preserve"> be sent by email</w:t>
      </w:r>
      <w:r w:rsidR="0E3896BA" w:rsidRPr="00912630">
        <w:t>,</w:t>
      </w:r>
      <w:r w:rsidR="38CC7917" w:rsidRPr="00912630">
        <w:t xml:space="preserve"> send an email </w:t>
      </w:r>
      <w:r w:rsidR="0E3896BA" w:rsidRPr="00912630">
        <w:t xml:space="preserve">to request an upload link </w:t>
      </w:r>
      <w:r w:rsidR="38CC7917" w:rsidRPr="00912630">
        <w:t xml:space="preserve">with the subject </w:t>
      </w:r>
      <w:r w:rsidR="6BB188A2" w:rsidRPr="00912630">
        <w:t>‘</w:t>
      </w:r>
      <w:r w:rsidR="38CC7917" w:rsidRPr="00912630">
        <w:t>Requesting upload link</w:t>
      </w:r>
      <w:r w:rsidR="6BB188A2" w:rsidRPr="00912630">
        <w:t>’</w:t>
      </w:r>
      <w:r w:rsidR="38CC7917" w:rsidRPr="00912630">
        <w:t xml:space="preserve"> </w:t>
      </w:r>
      <w:bookmarkStart w:id="1" w:name="_Hlk101383785"/>
      <w:r w:rsidR="000E2245" w:rsidRPr="00912630">
        <w:t>to</w:t>
      </w:r>
      <w:r w:rsidR="000E2245" w:rsidRPr="00912630">
        <w:rPr>
          <w:b/>
          <w:bCs/>
        </w:rPr>
        <w:t xml:space="preserve"> </w:t>
      </w:r>
      <w:hyperlink r:id="rId12" w:history="1">
        <w:r w:rsidR="00CC4C4F" w:rsidRPr="00CC4C4F">
          <w:rPr>
            <w:rStyle w:val="Hyperlink"/>
            <w:rFonts w:ascii="Calibri" w:hAnsi="Calibri" w:cs="Calibri"/>
          </w:rPr>
          <w:t>drcprocurement@clintonhealthaccess.org</w:t>
        </w:r>
      </w:hyperlink>
      <w:r w:rsidR="7EDB9000" w:rsidRPr="00912630">
        <w:t>.</w:t>
      </w:r>
      <w:r w:rsidR="2B6D6E21" w:rsidRPr="2B6D6E21">
        <w:rPr>
          <w:b/>
          <w:bCs/>
        </w:rPr>
        <w:t xml:space="preserve"> </w:t>
      </w:r>
    </w:p>
    <w:bookmarkEnd w:id="1"/>
    <w:p w14:paraId="1DD65E7D" w14:textId="7FF7D2FE" w:rsidR="0049791A" w:rsidRPr="00912630" w:rsidRDefault="2B6D6E21" w:rsidP="2B6D6E21">
      <w:pPr>
        <w:keepNext/>
        <w:keepLines/>
        <w:spacing w:before="400" w:after="40" w:line="240" w:lineRule="auto"/>
        <w:ind w:left="-450"/>
        <w:jc w:val="both"/>
        <w:rPr>
          <w:rFonts w:asciiTheme="majorHAnsi" w:eastAsiaTheme="majorEastAsia" w:hAnsiTheme="majorHAnsi" w:cstheme="majorBidi"/>
          <w:b/>
          <w:bCs/>
          <w:color w:val="000000" w:themeColor="text1"/>
          <w:sz w:val="24"/>
          <w:szCs w:val="24"/>
        </w:rPr>
      </w:pPr>
      <w:r w:rsidRPr="2B6D6E21">
        <w:rPr>
          <w:b/>
          <w:bCs/>
        </w:rPr>
        <w:lastRenderedPageBreak/>
        <w:t>Bids submitted after the deadline will not be considered. mLOX suppl</w:t>
      </w:r>
      <w:r w:rsidR="000E2245">
        <w:rPr>
          <w:b/>
          <w:bCs/>
        </w:rPr>
        <w:t>y,</w:t>
      </w:r>
      <w:r w:rsidRPr="2B6D6E21">
        <w:rPr>
          <w:b/>
          <w:bCs/>
        </w:rPr>
        <w:t xml:space="preserve"> transport services and L2G filling operations must be assessed against CHAI’s quality policy and applicable local laws and regulations. Vendors may be requested to submit additional information.</w:t>
      </w:r>
    </w:p>
    <w:p w14:paraId="7311D7E8" w14:textId="3E3F94A8" w:rsidR="0049791A" w:rsidRPr="00D451E4" w:rsidRDefault="0049791A" w:rsidP="00D451E4">
      <w:pPr>
        <w:pStyle w:val="ListParagraph"/>
        <w:keepNext/>
        <w:keepLines/>
        <w:numPr>
          <w:ilvl w:val="0"/>
          <w:numId w:val="8"/>
        </w:numPr>
        <w:spacing w:before="400" w:after="40" w:line="240" w:lineRule="auto"/>
        <w:jc w:val="both"/>
        <w:rPr>
          <w:rStyle w:val="Strong"/>
        </w:rPr>
      </w:pPr>
      <w:r w:rsidRPr="00D451E4">
        <w:rPr>
          <w:rStyle w:val="Strong"/>
        </w:rPr>
        <w:t>Terms and conditions</w:t>
      </w: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6120"/>
      </w:tblGrid>
      <w:tr w:rsidR="0049791A" w:rsidRPr="00912630" w14:paraId="3847B5E4" w14:textId="77777777" w:rsidTr="7F8205F8">
        <w:trPr>
          <w:cantSplit/>
          <w:trHeight w:val="485"/>
        </w:trPr>
        <w:tc>
          <w:tcPr>
            <w:tcW w:w="4590" w:type="dxa"/>
          </w:tcPr>
          <w:p w14:paraId="7D7A0A61" w14:textId="0F1F22AF" w:rsidR="0049791A" w:rsidRPr="00912630" w:rsidRDefault="0049791A" w:rsidP="0049791A">
            <w:pPr>
              <w:spacing w:after="0" w:line="240" w:lineRule="auto"/>
              <w:rPr>
                <w:rFonts w:eastAsia="Times New Roman" w:cstheme="minorHAnsi"/>
              </w:rPr>
            </w:pPr>
            <w:r w:rsidRPr="00912630">
              <w:rPr>
                <w:rFonts w:eastAsia="Times New Roman" w:cstheme="minorHAnsi"/>
              </w:rPr>
              <w:t>Delivery Terms INCOTERMS 2020</w:t>
            </w:r>
          </w:p>
          <w:p w14:paraId="4DED34A8" w14:textId="77777777" w:rsidR="0049791A" w:rsidRPr="00912630" w:rsidRDefault="0049791A" w:rsidP="0049791A">
            <w:pPr>
              <w:spacing w:after="0" w:line="240" w:lineRule="auto"/>
              <w:rPr>
                <w:rFonts w:eastAsia="Times New Roman" w:cstheme="minorHAnsi"/>
                <w:i/>
              </w:rPr>
            </w:pPr>
          </w:p>
        </w:tc>
        <w:tc>
          <w:tcPr>
            <w:tcW w:w="6120" w:type="dxa"/>
          </w:tcPr>
          <w:p w14:paraId="2009EFF8" w14:textId="712B2FE9" w:rsidR="0049791A" w:rsidRPr="00912630" w:rsidRDefault="0049791A" w:rsidP="0049791A">
            <w:pPr>
              <w:spacing w:after="0" w:line="240" w:lineRule="auto"/>
              <w:rPr>
                <w:rFonts w:eastAsia="Times New Roman" w:cstheme="minorHAnsi"/>
              </w:rPr>
            </w:pPr>
            <w:r w:rsidRPr="00912630">
              <w:rPr>
                <w:rFonts w:eastAsia="Times New Roman" w:cstheme="minorHAnsi"/>
                <w:bCs/>
              </w:rPr>
              <w:t xml:space="preserve">DPU </w:t>
            </w:r>
          </w:p>
        </w:tc>
      </w:tr>
      <w:tr w:rsidR="0049791A" w:rsidRPr="00912630" w14:paraId="3C05FCD9" w14:textId="77777777" w:rsidTr="7F8205F8">
        <w:trPr>
          <w:trHeight w:val="440"/>
        </w:trPr>
        <w:tc>
          <w:tcPr>
            <w:tcW w:w="4590" w:type="dxa"/>
          </w:tcPr>
          <w:p w14:paraId="3219B988" w14:textId="77777777" w:rsidR="0049791A" w:rsidRPr="00912630" w:rsidRDefault="0049791A" w:rsidP="0049791A">
            <w:pPr>
              <w:spacing w:after="0" w:line="240" w:lineRule="auto"/>
              <w:rPr>
                <w:rFonts w:eastAsia="Times New Roman" w:cstheme="minorHAnsi"/>
              </w:rPr>
            </w:pPr>
            <w:r w:rsidRPr="00912630">
              <w:rPr>
                <w:rFonts w:eastAsia="Times New Roman" w:cstheme="minorHAnsi"/>
              </w:rPr>
              <w:t>Customs clearance and Duties, if needed, shall be done by:</w:t>
            </w:r>
          </w:p>
        </w:tc>
        <w:tc>
          <w:tcPr>
            <w:tcW w:w="6120" w:type="dxa"/>
          </w:tcPr>
          <w:p w14:paraId="1FEF57BF" w14:textId="77777777" w:rsidR="0049791A" w:rsidRPr="00912630" w:rsidRDefault="0049791A" w:rsidP="0049791A">
            <w:pPr>
              <w:spacing w:after="0" w:line="240" w:lineRule="auto"/>
              <w:rPr>
                <w:rFonts w:eastAsia="Times New Roman" w:cstheme="minorHAnsi"/>
              </w:rPr>
            </w:pPr>
            <w:r w:rsidRPr="00912630">
              <w:rPr>
                <w:rFonts w:eastAsia="Times New Roman" w:cstheme="minorHAnsi"/>
              </w:rPr>
              <w:t>CHAI</w:t>
            </w:r>
          </w:p>
        </w:tc>
      </w:tr>
      <w:tr w:rsidR="0049791A" w:rsidRPr="00476B46" w14:paraId="20E53179" w14:textId="77777777" w:rsidTr="7F8205F8">
        <w:trPr>
          <w:cantSplit/>
          <w:trHeight w:val="602"/>
        </w:trPr>
        <w:tc>
          <w:tcPr>
            <w:tcW w:w="4590" w:type="dxa"/>
          </w:tcPr>
          <w:p w14:paraId="4CC1EF17" w14:textId="77777777" w:rsidR="0049791A" w:rsidRPr="00912630" w:rsidRDefault="0049791A" w:rsidP="0049791A">
            <w:pPr>
              <w:spacing w:after="0" w:line="240" w:lineRule="auto"/>
              <w:rPr>
                <w:rFonts w:eastAsia="Times New Roman" w:cstheme="minorHAnsi"/>
              </w:rPr>
            </w:pPr>
            <w:r w:rsidRPr="00912630">
              <w:rPr>
                <w:rFonts w:eastAsia="Times New Roman" w:cstheme="minorHAnsi"/>
              </w:rPr>
              <w:t>Exact Address/es of Delivery Location/s (identify all, if multiple)</w:t>
            </w:r>
          </w:p>
        </w:tc>
        <w:tc>
          <w:tcPr>
            <w:tcW w:w="6120" w:type="dxa"/>
          </w:tcPr>
          <w:p w14:paraId="46FE3287" w14:textId="4CAB3EF7" w:rsidR="0049791A" w:rsidRPr="00476B46" w:rsidRDefault="00F71E20" w:rsidP="0049791A">
            <w:pPr>
              <w:spacing w:after="0" w:line="240" w:lineRule="auto"/>
              <w:rPr>
                <w:rFonts w:eastAsia="Times New Roman" w:cstheme="minorHAnsi"/>
                <w:lang w:val="fr-FR"/>
              </w:rPr>
            </w:pPr>
            <w:r w:rsidRPr="00476B46">
              <w:rPr>
                <w:rFonts w:eastAsia="Times New Roman" w:cstheme="minorHAnsi"/>
                <w:lang w:val="fr-FR"/>
              </w:rPr>
              <w:t xml:space="preserve">Cliniques Universitaires de </w:t>
            </w:r>
            <w:r w:rsidR="00BE094F" w:rsidRPr="00476B46">
              <w:rPr>
                <w:rFonts w:eastAsia="Times New Roman" w:cstheme="minorHAnsi"/>
                <w:lang w:val="fr-FR"/>
              </w:rPr>
              <w:t xml:space="preserve">Kinshasa, </w:t>
            </w:r>
            <w:r w:rsidRPr="00476B46">
              <w:rPr>
                <w:rFonts w:eastAsia="Times New Roman" w:cstheme="minorHAnsi"/>
                <w:lang w:val="fr-FR"/>
              </w:rPr>
              <w:t xml:space="preserve">Kinshasa, </w:t>
            </w:r>
            <w:r w:rsidR="0049791A" w:rsidRPr="00476B46">
              <w:rPr>
                <w:rFonts w:eastAsia="Times New Roman" w:cstheme="minorHAnsi"/>
                <w:lang w:val="fr-FR"/>
              </w:rPr>
              <w:t>DRC</w:t>
            </w:r>
          </w:p>
        </w:tc>
      </w:tr>
      <w:tr w:rsidR="0049791A" w:rsidRPr="00912630" w14:paraId="31B1F1B8" w14:textId="77777777" w:rsidTr="7F8205F8">
        <w:trPr>
          <w:cantSplit/>
          <w:trHeight w:val="638"/>
        </w:trPr>
        <w:tc>
          <w:tcPr>
            <w:tcW w:w="4590" w:type="dxa"/>
          </w:tcPr>
          <w:p w14:paraId="13A7ACED" w14:textId="77777777" w:rsidR="0049791A" w:rsidRPr="00912630" w:rsidRDefault="0049791A" w:rsidP="0049791A">
            <w:pPr>
              <w:spacing w:after="0" w:line="240" w:lineRule="auto"/>
              <w:rPr>
                <w:rFonts w:eastAsia="Times New Roman" w:cstheme="minorHAnsi"/>
              </w:rPr>
            </w:pPr>
            <w:r w:rsidRPr="00912630">
              <w:rPr>
                <w:rFonts w:eastAsia="Times New Roman" w:cstheme="minorHAnsi"/>
              </w:rPr>
              <w:t>Latest Expected Delivery Date and Time (</w:t>
            </w:r>
            <w:r w:rsidRPr="00912630">
              <w:rPr>
                <w:rFonts w:eastAsia="Times New Roman" w:cstheme="minorHAnsi"/>
                <w:i/>
              </w:rPr>
              <w:t>if delivery time exceeds this, quote may be rejected by CHAI)</w:t>
            </w:r>
          </w:p>
        </w:tc>
        <w:tc>
          <w:tcPr>
            <w:tcW w:w="6120" w:type="dxa"/>
          </w:tcPr>
          <w:p w14:paraId="22A1BBE4" w14:textId="77777777" w:rsidR="0049791A" w:rsidRPr="00912630" w:rsidRDefault="6A5D3382" w:rsidP="6A5D3382">
            <w:pPr>
              <w:spacing w:after="0" w:line="240" w:lineRule="auto"/>
              <w:rPr>
                <w:rFonts w:eastAsia="Times New Roman"/>
                <w:b/>
                <w:bCs/>
              </w:rPr>
            </w:pPr>
            <w:r w:rsidRPr="6A5D3382">
              <w:rPr>
                <w:rFonts w:eastAsia="Times New Roman"/>
                <w:b/>
                <w:bCs/>
              </w:rPr>
              <w:t xml:space="preserve">See </w:t>
            </w:r>
            <w:r w:rsidRPr="00763DA4">
              <w:rPr>
                <w:rFonts w:eastAsia="Times New Roman"/>
                <w:b/>
                <w:bCs/>
              </w:rPr>
              <w:t>each LOT</w:t>
            </w:r>
          </w:p>
        </w:tc>
      </w:tr>
      <w:tr w:rsidR="0049791A" w:rsidRPr="00912630" w14:paraId="593570AB" w14:textId="77777777" w:rsidTr="7F8205F8">
        <w:tc>
          <w:tcPr>
            <w:tcW w:w="4590" w:type="dxa"/>
          </w:tcPr>
          <w:p w14:paraId="1292FC29" w14:textId="77777777" w:rsidR="0049791A" w:rsidRPr="00912630" w:rsidRDefault="0049791A" w:rsidP="0049791A">
            <w:pPr>
              <w:spacing w:after="0" w:line="240" w:lineRule="auto"/>
              <w:rPr>
                <w:rFonts w:eastAsia="Times New Roman" w:cstheme="minorHAnsi"/>
              </w:rPr>
            </w:pPr>
            <w:r w:rsidRPr="00912630">
              <w:rPr>
                <w:rFonts w:eastAsia="Times New Roman" w:cstheme="minorHAnsi"/>
              </w:rPr>
              <w:t>Delivery Schedule</w:t>
            </w:r>
          </w:p>
        </w:tc>
        <w:tc>
          <w:tcPr>
            <w:tcW w:w="6120" w:type="dxa"/>
          </w:tcPr>
          <w:p w14:paraId="2BE05BFB" w14:textId="77777777" w:rsidR="0049791A" w:rsidRPr="00912630" w:rsidRDefault="0049791A" w:rsidP="0049791A">
            <w:pPr>
              <w:spacing w:after="0" w:line="240" w:lineRule="auto"/>
              <w:rPr>
                <w:rFonts w:eastAsia="Times New Roman" w:cstheme="minorHAnsi"/>
                <w:b/>
              </w:rPr>
            </w:pPr>
            <w:r w:rsidRPr="00912630">
              <w:rPr>
                <w:rFonts w:eastAsia="Times New Roman" w:cstheme="minorHAnsi"/>
                <w:b/>
              </w:rPr>
              <w:t>Specify in comments section of Annex A</w:t>
            </w:r>
          </w:p>
        </w:tc>
      </w:tr>
      <w:tr w:rsidR="0049791A" w:rsidRPr="0049791A" w14:paraId="70A35F6E" w14:textId="77777777" w:rsidTr="7F8205F8">
        <w:trPr>
          <w:cantSplit/>
        </w:trPr>
        <w:tc>
          <w:tcPr>
            <w:tcW w:w="4590" w:type="dxa"/>
            <w:vMerge w:val="restart"/>
          </w:tcPr>
          <w:p w14:paraId="72302AB5" w14:textId="77777777" w:rsidR="0049791A" w:rsidRPr="00912630" w:rsidRDefault="0049791A" w:rsidP="0049791A">
            <w:pPr>
              <w:spacing w:after="0" w:line="240" w:lineRule="auto"/>
              <w:rPr>
                <w:rFonts w:eastAsia="Times New Roman" w:cstheme="minorHAnsi"/>
                <w:noProof/>
              </w:rPr>
            </w:pPr>
            <w:r w:rsidRPr="00912630">
              <w:rPr>
                <w:rFonts w:eastAsia="Times New Roman" w:cstheme="minorHAnsi"/>
                <w:noProof/>
              </w:rPr>
              <w:t>Mode of Transport</w:t>
            </w:r>
          </w:p>
        </w:tc>
        <w:tc>
          <w:tcPr>
            <w:tcW w:w="6120" w:type="dxa"/>
            <w:tcBorders>
              <w:bottom w:val="nil"/>
            </w:tcBorders>
          </w:tcPr>
          <w:p w14:paraId="77EA3FED" w14:textId="75BBB181" w:rsidR="0049791A" w:rsidRPr="0049791A" w:rsidRDefault="0049791A" w:rsidP="0049791A">
            <w:pPr>
              <w:spacing w:after="0" w:line="240" w:lineRule="auto"/>
              <w:rPr>
                <w:rFonts w:eastAsia="Times New Roman" w:cstheme="minorHAnsi"/>
                <w:b/>
              </w:rPr>
            </w:pPr>
            <w:r w:rsidRPr="00912630">
              <w:rPr>
                <w:rFonts w:eastAsia="Times New Roman" w:cstheme="minorHAnsi"/>
                <w:b/>
              </w:rPr>
              <w:t xml:space="preserve">SEA </w:t>
            </w:r>
            <w:r w:rsidR="00B62C4F" w:rsidRPr="00912630">
              <w:rPr>
                <w:rFonts w:eastAsia="Times New Roman" w:cstheme="minorHAnsi"/>
                <w:b/>
              </w:rPr>
              <w:t>AND/OR</w:t>
            </w:r>
            <w:r w:rsidRPr="00912630">
              <w:rPr>
                <w:rFonts w:eastAsia="Times New Roman" w:cstheme="minorHAnsi"/>
                <w:b/>
              </w:rPr>
              <w:t xml:space="preserve"> ROAD</w:t>
            </w:r>
          </w:p>
        </w:tc>
      </w:tr>
      <w:tr w:rsidR="0049791A" w:rsidRPr="0049791A" w14:paraId="74CC3676" w14:textId="77777777" w:rsidTr="7F8205F8">
        <w:trPr>
          <w:cantSplit/>
          <w:trHeight w:val="215"/>
        </w:trPr>
        <w:tc>
          <w:tcPr>
            <w:tcW w:w="4590" w:type="dxa"/>
            <w:vMerge/>
          </w:tcPr>
          <w:p w14:paraId="4690F460" w14:textId="77777777" w:rsidR="0049791A" w:rsidRPr="0049791A" w:rsidRDefault="0049791A" w:rsidP="0049791A">
            <w:pPr>
              <w:spacing w:after="0" w:line="240" w:lineRule="auto"/>
              <w:rPr>
                <w:rFonts w:eastAsia="Times New Roman" w:cstheme="minorHAnsi"/>
              </w:rPr>
            </w:pPr>
          </w:p>
        </w:tc>
        <w:tc>
          <w:tcPr>
            <w:tcW w:w="6120" w:type="dxa"/>
            <w:tcBorders>
              <w:top w:val="nil"/>
            </w:tcBorders>
          </w:tcPr>
          <w:p w14:paraId="41FBD2A1" w14:textId="77777777" w:rsidR="0049791A" w:rsidRPr="0049791A" w:rsidRDefault="0049791A" w:rsidP="0049791A">
            <w:pPr>
              <w:spacing w:after="0" w:line="240" w:lineRule="auto"/>
              <w:rPr>
                <w:rFonts w:eastAsia="Times New Roman" w:cstheme="minorHAnsi"/>
              </w:rPr>
            </w:pPr>
          </w:p>
        </w:tc>
      </w:tr>
      <w:tr w:rsidR="0049791A" w:rsidRPr="0049791A" w14:paraId="6320A9E7" w14:textId="77777777" w:rsidTr="7F8205F8">
        <w:trPr>
          <w:trHeight w:val="287"/>
        </w:trPr>
        <w:tc>
          <w:tcPr>
            <w:tcW w:w="4590" w:type="dxa"/>
          </w:tcPr>
          <w:p w14:paraId="5952541D" w14:textId="77777777" w:rsidR="0049791A" w:rsidRPr="0049791A" w:rsidRDefault="0049791A" w:rsidP="0049791A">
            <w:pPr>
              <w:spacing w:after="0" w:line="240" w:lineRule="auto"/>
              <w:rPr>
                <w:rFonts w:eastAsia="Times New Roman" w:cstheme="minorHAnsi"/>
              </w:rPr>
            </w:pPr>
            <w:r w:rsidRPr="0049791A">
              <w:rPr>
                <w:rFonts w:eastAsia="Times New Roman" w:cstheme="minorHAnsi"/>
              </w:rPr>
              <w:t>Preferred Currency of Quotation</w:t>
            </w:r>
          </w:p>
        </w:tc>
        <w:tc>
          <w:tcPr>
            <w:tcW w:w="6120" w:type="dxa"/>
          </w:tcPr>
          <w:p w14:paraId="12A51B9A" w14:textId="48334F95" w:rsidR="0049791A" w:rsidRPr="0049791A" w:rsidRDefault="0049791A" w:rsidP="0049791A">
            <w:pPr>
              <w:spacing w:after="0" w:line="240" w:lineRule="auto"/>
              <w:rPr>
                <w:rFonts w:eastAsia="Times New Roman" w:cstheme="minorHAnsi"/>
              </w:rPr>
            </w:pPr>
            <w:r w:rsidRPr="0049791A">
              <w:rPr>
                <w:rFonts w:eastAsia="Times New Roman" w:cstheme="minorHAnsi"/>
                <w:b/>
              </w:rPr>
              <w:t>United States Dollars</w:t>
            </w:r>
          </w:p>
        </w:tc>
      </w:tr>
      <w:tr w:rsidR="0049791A" w:rsidRPr="0049791A" w14:paraId="1FDA0082" w14:textId="77777777" w:rsidTr="7F8205F8">
        <w:trPr>
          <w:cantSplit/>
          <w:trHeight w:val="80"/>
        </w:trPr>
        <w:tc>
          <w:tcPr>
            <w:tcW w:w="4590" w:type="dxa"/>
          </w:tcPr>
          <w:p w14:paraId="7722DD47" w14:textId="77777777" w:rsidR="0049791A" w:rsidRPr="0049791A" w:rsidRDefault="0049791A" w:rsidP="0049791A">
            <w:pPr>
              <w:spacing w:line="240" w:lineRule="auto"/>
              <w:rPr>
                <w:rFonts w:eastAsia="Times New Roman" w:cstheme="minorHAnsi"/>
              </w:rPr>
            </w:pPr>
            <w:r w:rsidRPr="0049791A">
              <w:rPr>
                <w:rFonts w:eastAsia="Times New Roman" w:cstheme="minorHAnsi"/>
              </w:rPr>
              <w:t>Warranty</w:t>
            </w:r>
          </w:p>
        </w:tc>
        <w:tc>
          <w:tcPr>
            <w:tcW w:w="6120" w:type="dxa"/>
            <w:shd w:val="clear" w:color="auto" w:fill="auto"/>
          </w:tcPr>
          <w:p w14:paraId="0F8FEF3F" w14:textId="77777777" w:rsidR="0049791A" w:rsidRPr="0049791A" w:rsidRDefault="0049791A" w:rsidP="0049791A">
            <w:pPr>
              <w:spacing w:line="240" w:lineRule="auto"/>
              <w:rPr>
                <w:rFonts w:eastAsia="Times New Roman" w:cstheme="minorHAnsi"/>
              </w:rPr>
            </w:pPr>
            <w:r w:rsidRPr="0049791A">
              <w:rPr>
                <w:rFonts w:eastAsia="Times New Roman" w:cstheme="minorHAnsi"/>
              </w:rPr>
              <w:t>Varies (see Annex B)</w:t>
            </w:r>
          </w:p>
        </w:tc>
      </w:tr>
      <w:tr w:rsidR="0049791A" w:rsidRPr="0049791A" w14:paraId="0EB4F128" w14:textId="77777777" w:rsidTr="7F8205F8">
        <w:trPr>
          <w:cantSplit/>
          <w:trHeight w:val="242"/>
        </w:trPr>
        <w:tc>
          <w:tcPr>
            <w:tcW w:w="4590" w:type="dxa"/>
          </w:tcPr>
          <w:p w14:paraId="09522CAF" w14:textId="77777777" w:rsidR="0049791A" w:rsidRPr="0049791A" w:rsidRDefault="0049791A" w:rsidP="0049791A">
            <w:pPr>
              <w:spacing w:after="0" w:line="240" w:lineRule="auto"/>
              <w:rPr>
                <w:rFonts w:eastAsia="Times New Roman" w:cstheme="minorHAnsi"/>
              </w:rPr>
            </w:pPr>
            <w:r w:rsidRPr="0049791A">
              <w:rPr>
                <w:rFonts w:eastAsia="Times New Roman" w:cstheme="minorHAnsi"/>
              </w:rPr>
              <w:t>Deadline for the Submission of Bid</w:t>
            </w:r>
          </w:p>
        </w:tc>
        <w:tc>
          <w:tcPr>
            <w:tcW w:w="6120" w:type="dxa"/>
          </w:tcPr>
          <w:p w14:paraId="3088E48E" w14:textId="77777777" w:rsidR="0049791A" w:rsidRPr="0049791A" w:rsidRDefault="0049791A" w:rsidP="0049791A">
            <w:pPr>
              <w:spacing w:after="0" w:line="240" w:lineRule="auto"/>
              <w:rPr>
                <w:rFonts w:eastAsia="Times New Roman" w:cstheme="minorHAnsi"/>
                <w:b/>
                <w:color w:val="000000"/>
              </w:rPr>
            </w:pPr>
            <w:r w:rsidRPr="0049791A">
              <w:rPr>
                <w:rFonts w:eastAsia="Times New Roman" w:cstheme="minorHAnsi"/>
                <w:b/>
                <w:color w:val="000000"/>
              </w:rPr>
              <w:t>Closing date above</w:t>
            </w:r>
          </w:p>
        </w:tc>
      </w:tr>
      <w:tr w:rsidR="0049791A" w:rsidRPr="0049791A" w14:paraId="131F93A8" w14:textId="77777777" w:rsidTr="7F8205F8">
        <w:tc>
          <w:tcPr>
            <w:tcW w:w="4590" w:type="dxa"/>
          </w:tcPr>
          <w:p w14:paraId="4E944FA4" w14:textId="77777777" w:rsidR="0049791A" w:rsidRPr="0049791A" w:rsidRDefault="0049791A" w:rsidP="0049791A">
            <w:pPr>
              <w:spacing w:after="0" w:line="240" w:lineRule="auto"/>
              <w:rPr>
                <w:rFonts w:eastAsia="Times New Roman" w:cstheme="minorHAnsi"/>
              </w:rPr>
            </w:pPr>
            <w:r w:rsidRPr="0049791A">
              <w:rPr>
                <w:rFonts w:eastAsia="Times New Roman" w:cstheme="minorHAnsi"/>
              </w:rPr>
              <w:t xml:space="preserve">All documentations, including catalogs, instructions, and operating manuals, shall be in this language </w:t>
            </w:r>
          </w:p>
        </w:tc>
        <w:tc>
          <w:tcPr>
            <w:tcW w:w="6120" w:type="dxa"/>
          </w:tcPr>
          <w:p w14:paraId="2AC024B1" w14:textId="20D9EBA5" w:rsidR="0049791A" w:rsidRPr="0049791A" w:rsidRDefault="7F8205F8" w:rsidP="7F8205F8">
            <w:pPr>
              <w:spacing w:after="0" w:line="240" w:lineRule="auto"/>
              <w:rPr>
                <w:rFonts w:eastAsia="Times New Roman"/>
                <w:b/>
                <w:bCs/>
              </w:rPr>
            </w:pPr>
            <w:r w:rsidRPr="7F8205F8">
              <w:rPr>
                <w:rFonts w:eastAsia="Times New Roman"/>
                <w:b/>
                <w:bCs/>
              </w:rPr>
              <w:t xml:space="preserve">English </w:t>
            </w:r>
          </w:p>
          <w:p w14:paraId="284C532C" w14:textId="77777777" w:rsidR="0049791A" w:rsidRPr="0049791A" w:rsidRDefault="0049791A" w:rsidP="0049791A">
            <w:pPr>
              <w:spacing w:after="0" w:line="240" w:lineRule="auto"/>
              <w:rPr>
                <w:rFonts w:eastAsia="Times New Roman" w:cstheme="minorHAnsi"/>
              </w:rPr>
            </w:pPr>
          </w:p>
        </w:tc>
      </w:tr>
      <w:tr w:rsidR="0049791A" w:rsidRPr="0049791A" w14:paraId="59883A8A" w14:textId="77777777" w:rsidTr="7F8205F8">
        <w:trPr>
          <w:trHeight w:val="70"/>
        </w:trPr>
        <w:tc>
          <w:tcPr>
            <w:tcW w:w="4590" w:type="dxa"/>
          </w:tcPr>
          <w:p w14:paraId="3D705140" w14:textId="77777777" w:rsidR="0049791A" w:rsidRPr="0049791A" w:rsidRDefault="0049791A" w:rsidP="0049791A">
            <w:pPr>
              <w:spacing w:after="0" w:line="240" w:lineRule="auto"/>
              <w:rPr>
                <w:rFonts w:eastAsia="Times New Roman" w:cstheme="minorHAnsi"/>
              </w:rPr>
            </w:pPr>
            <w:r w:rsidRPr="0049791A">
              <w:rPr>
                <w:rFonts w:eastAsia="Times New Roman" w:cstheme="minorHAnsi"/>
              </w:rPr>
              <w:t>Documents to be submitted.</w:t>
            </w:r>
          </w:p>
          <w:p w14:paraId="18E9C717" w14:textId="77777777" w:rsidR="0049791A" w:rsidRPr="0049791A" w:rsidRDefault="0049791A" w:rsidP="0049791A">
            <w:pPr>
              <w:spacing w:after="0" w:line="240" w:lineRule="auto"/>
              <w:rPr>
                <w:rFonts w:eastAsia="Times New Roman" w:cstheme="minorHAnsi"/>
                <w:b/>
                <w:bCs/>
              </w:rPr>
            </w:pPr>
          </w:p>
          <w:p w14:paraId="5B8771BB" w14:textId="77777777" w:rsidR="0049791A" w:rsidRPr="0049791A" w:rsidRDefault="0049791A" w:rsidP="0049791A">
            <w:pPr>
              <w:spacing w:after="0" w:line="240" w:lineRule="auto"/>
              <w:rPr>
                <w:rFonts w:eastAsia="Times New Roman" w:cstheme="minorHAnsi"/>
                <w:b/>
                <w:bCs/>
              </w:rPr>
            </w:pPr>
          </w:p>
          <w:p w14:paraId="7622EB7F" w14:textId="77777777" w:rsidR="0049791A" w:rsidRPr="0049791A" w:rsidRDefault="0049791A" w:rsidP="0049791A">
            <w:pPr>
              <w:spacing w:after="0" w:line="240" w:lineRule="auto"/>
              <w:rPr>
                <w:rFonts w:eastAsia="Times New Roman" w:cstheme="minorHAnsi"/>
                <w:b/>
                <w:bCs/>
              </w:rPr>
            </w:pPr>
          </w:p>
          <w:p w14:paraId="34B15BCD" w14:textId="77777777" w:rsidR="0049791A" w:rsidRPr="0049791A" w:rsidRDefault="0049791A" w:rsidP="0049791A">
            <w:pPr>
              <w:spacing w:after="0" w:line="240" w:lineRule="auto"/>
              <w:rPr>
                <w:rFonts w:eastAsia="Times New Roman" w:cstheme="minorHAnsi"/>
                <w:b/>
                <w:bCs/>
              </w:rPr>
            </w:pPr>
          </w:p>
          <w:p w14:paraId="297362F7" w14:textId="77777777" w:rsidR="0049791A" w:rsidRPr="0049791A" w:rsidRDefault="0049791A" w:rsidP="0049791A">
            <w:pPr>
              <w:spacing w:after="0" w:line="240" w:lineRule="auto"/>
              <w:rPr>
                <w:rFonts w:eastAsia="Times New Roman" w:cstheme="minorHAnsi"/>
                <w:b/>
                <w:bCs/>
              </w:rPr>
            </w:pPr>
          </w:p>
          <w:p w14:paraId="4AA86F1A" w14:textId="77777777" w:rsidR="0049791A" w:rsidRPr="0049791A" w:rsidRDefault="0049791A" w:rsidP="0049791A">
            <w:pPr>
              <w:spacing w:after="0" w:line="240" w:lineRule="auto"/>
              <w:rPr>
                <w:rFonts w:eastAsia="Times New Roman" w:cstheme="minorHAnsi"/>
                <w:b/>
                <w:bCs/>
              </w:rPr>
            </w:pPr>
          </w:p>
        </w:tc>
        <w:tc>
          <w:tcPr>
            <w:tcW w:w="6120" w:type="dxa"/>
          </w:tcPr>
          <w:p w14:paraId="3ABB1C53" w14:textId="77777777" w:rsidR="0049791A" w:rsidRPr="0049791A" w:rsidRDefault="0049791A" w:rsidP="0049791A">
            <w:pPr>
              <w:numPr>
                <w:ilvl w:val="0"/>
                <w:numId w:val="5"/>
              </w:numPr>
              <w:tabs>
                <w:tab w:val="left" w:pos="-14"/>
              </w:tabs>
              <w:spacing w:after="0" w:line="240" w:lineRule="auto"/>
              <w:contextualSpacing/>
              <w:rPr>
                <w:rFonts w:eastAsia="Times New Roman" w:cstheme="minorHAnsi"/>
                <w:iCs/>
              </w:rPr>
            </w:pPr>
            <w:r w:rsidRPr="0049791A">
              <w:rPr>
                <w:rFonts w:eastAsia="Times New Roman" w:cstheme="minorHAnsi"/>
                <w:iCs/>
              </w:rPr>
              <w:t xml:space="preserve">Completed Annex A and Annex B </w:t>
            </w:r>
          </w:p>
          <w:p w14:paraId="373A7ADD" w14:textId="77777777" w:rsidR="0049791A" w:rsidRPr="0049791A" w:rsidDel="00F84374" w:rsidRDefault="0049791A" w:rsidP="0049791A">
            <w:pPr>
              <w:numPr>
                <w:ilvl w:val="0"/>
                <w:numId w:val="5"/>
              </w:numPr>
              <w:tabs>
                <w:tab w:val="left" w:pos="-14"/>
              </w:tabs>
              <w:spacing w:after="0" w:line="240" w:lineRule="auto"/>
              <w:contextualSpacing/>
              <w:rPr>
                <w:rFonts w:eastAsia="Times New Roman" w:cstheme="minorHAnsi"/>
                <w:iCs/>
              </w:rPr>
            </w:pPr>
            <w:r w:rsidRPr="0049791A">
              <w:rPr>
                <w:rFonts w:eastAsia="Times New Roman" w:cstheme="minorHAnsi"/>
                <w:iCs/>
              </w:rPr>
              <w:t>Legal Documentation (Business Registration and Tax Clearance) to operate in Home Country applicable to both local and international supplier, Business Registration, Tax Certificate (This is in addition to completed vendor details in Annex A) If documents are not in English, please provide translation.</w:t>
            </w:r>
          </w:p>
        </w:tc>
      </w:tr>
      <w:tr w:rsidR="0049791A" w:rsidRPr="0049791A" w14:paraId="05A1B82B" w14:textId="77777777" w:rsidTr="7F8205F8">
        <w:trPr>
          <w:trHeight w:val="440"/>
        </w:trPr>
        <w:tc>
          <w:tcPr>
            <w:tcW w:w="4590" w:type="dxa"/>
          </w:tcPr>
          <w:p w14:paraId="5A3A9A32" w14:textId="77777777" w:rsidR="0049791A" w:rsidRPr="0049791A" w:rsidRDefault="0049791A" w:rsidP="0049791A">
            <w:pPr>
              <w:spacing w:after="0" w:line="240" w:lineRule="auto"/>
              <w:rPr>
                <w:rFonts w:eastAsia="Times New Roman" w:cstheme="minorHAnsi"/>
              </w:rPr>
            </w:pPr>
            <w:r w:rsidRPr="0049791A">
              <w:rPr>
                <w:rFonts w:eastAsia="Times New Roman" w:cstheme="minorHAnsi"/>
              </w:rPr>
              <w:t>Payment Terms</w:t>
            </w:r>
          </w:p>
        </w:tc>
        <w:tc>
          <w:tcPr>
            <w:tcW w:w="6120" w:type="dxa"/>
          </w:tcPr>
          <w:p w14:paraId="7FBCB611" w14:textId="0ECE8FA1" w:rsidR="0049791A" w:rsidRPr="0049791A" w:rsidRDefault="0049791A" w:rsidP="0049791A">
            <w:pPr>
              <w:spacing w:after="0" w:line="240" w:lineRule="auto"/>
              <w:rPr>
                <w:rFonts w:eastAsia="Times New Roman" w:cstheme="minorHAnsi"/>
              </w:rPr>
            </w:pPr>
            <w:r w:rsidRPr="0049791A">
              <w:rPr>
                <w:rFonts w:eastAsia="Times New Roman" w:cstheme="minorHAnsi"/>
              </w:rPr>
              <w:t>100 % after supply and inspection preferred</w:t>
            </w:r>
            <w:r w:rsidR="00D418A2">
              <w:rPr>
                <w:rFonts w:eastAsia="Times New Roman" w:cstheme="minorHAnsi"/>
              </w:rPr>
              <w:t>,</w:t>
            </w:r>
            <w:r w:rsidRPr="0049791A">
              <w:rPr>
                <w:rFonts w:eastAsia="Times New Roman" w:cstheme="minorHAnsi"/>
              </w:rPr>
              <w:t xml:space="preserve"> but other terms can be negotiate</w:t>
            </w:r>
            <w:r>
              <w:rPr>
                <w:rFonts w:eastAsia="Times New Roman" w:cstheme="minorHAnsi"/>
              </w:rPr>
              <w:t>d</w:t>
            </w:r>
          </w:p>
        </w:tc>
      </w:tr>
      <w:tr w:rsidR="0049791A" w:rsidRPr="0049791A" w14:paraId="068466B3" w14:textId="77777777" w:rsidTr="7F8205F8">
        <w:trPr>
          <w:cantSplit/>
          <w:trHeight w:val="460"/>
        </w:trPr>
        <w:tc>
          <w:tcPr>
            <w:tcW w:w="4590" w:type="dxa"/>
          </w:tcPr>
          <w:p w14:paraId="28230531" w14:textId="77777777" w:rsidR="0049791A" w:rsidRPr="0049791A" w:rsidRDefault="0049791A" w:rsidP="0049791A">
            <w:pPr>
              <w:spacing w:after="0" w:line="240" w:lineRule="auto"/>
              <w:rPr>
                <w:rFonts w:eastAsia="Times New Roman" w:cstheme="minorHAnsi"/>
              </w:rPr>
            </w:pPr>
            <w:r w:rsidRPr="0049791A">
              <w:rPr>
                <w:rFonts w:eastAsia="Times New Roman" w:cstheme="minorHAnsi"/>
              </w:rPr>
              <w:t xml:space="preserve">Liquidated Damages </w:t>
            </w:r>
          </w:p>
        </w:tc>
        <w:tc>
          <w:tcPr>
            <w:tcW w:w="6120" w:type="dxa"/>
          </w:tcPr>
          <w:p w14:paraId="628AEBC9" w14:textId="77777777" w:rsidR="0049791A" w:rsidRPr="0049791A" w:rsidRDefault="0049791A" w:rsidP="0049791A">
            <w:pPr>
              <w:spacing w:after="0" w:line="240" w:lineRule="auto"/>
              <w:rPr>
                <w:rFonts w:eastAsia="Times New Roman" w:cstheme="minorHAnsi"/>
              </w:rPr>
            </w:pPr>
            <w:r w:rsidRPr="0049791A">
              <w:rPr>
                <w:rFonts w:eastAsia="Times New Roman" w:cstheme="minorHAnsi"/>
              </w:rPr>
              <w:t>1% of total contract amount for each day of delay and maximum of 30 days after which contract will be terminated.</w:t>
            </w:r>
          </w:p>
        </w:tc>
      </w:tr>
      <w:tr w:rsidR="0049791A" w:rsidRPr="0049791A" w14:paraId="38BD61E8" w14:textId="77777777" w:rsidTr="7F8205F8">
        <w:trPr>
          <w:cantSplit/>
          <w:trHeight w:val="1052"/>
        </w:trPr>
        <w:tc>
          <w:tcPr>
            <w:tcW w:w="4590" w:type="dxa"/>
          </w:tcPr>
          <w:p w14:paraId="20648AFD" w14:textId="77777777" w:rsidR="0049791A" w:rsidRPr="0049791A" w:rsidRDefault="0049791A" w:rsidP="0049791A">
            <w:pPr>
              <w:spacing w:after="0" w:line="240" w:lineRule="auto"/>
              <w:rPr>
                <w:rFonts w:eastAsia="Times New Roman" w:cstheme="minorHAnsi"/>
              </w:rPr>
            </w:pPr>
            <w:r w:rsidRPr="0049791A">
              <w:rPr>
                <w:rFonts w:eastAsia="Times New Roman" w:cstheme="minorHAnsi"/>
              </w:rPr>
              <w:t xml:space="preserve">Evaluation Criteria </w:t>
            </w:r>
          </w:p>
          <w:p w14:paraId="4C34DAF6" w14:textId="77777777" w:rsidR="0049791A" w:rsidRPr="0049791A" w:rsidRDefault="0049791A" w:rsidP="0049791A">
            <w:pPr>
              <w:spacing w:after="0" w:line="240" w:lineRule="auto"/>
              <w:rPr>
                <w:rFonts w:eastAsia="Times New Roman" w:cstheme="minorHAnsi"/>
              </w:rPr>
            </w:pPr>
          </w:p>
          <w:p w14:paraId="22C0DB0C" w14:textId="77777777" w:rsidR="0049791A" w:rsidRPr="0049791A" w:rsidRDefault="0049791A" w:rsidP="0049791A">
            <w:pPr>
              <w:spacing w:after="0" w:line="240" w:lineRule="auto"/>
              <w:rPr>
                <w:rFonts w:eastAsia="Times New Roman" w:cstheme="minorHAnsi"/>
              </w:rPr>
            </w:pPr>
          </w:p>
          <w:p w14:paraId="5BA0205E" w14:textId="77777777" w:rsidR="0049791A" w:rsidRPr="0049791A" w:rsidRDefault="0049791A" w:rsidP="0049791A">
            <w:pPr>
              <w:spacing w:after="0" w:line="240" w:lineRule="auto"/>
              <w:rPr>
                <w:rFonts w:eastAsia="Times New Roman" w:cstheme="minorHAnsi"/>
              </w:rPr>
            </w:pPr>
          </w:p>
        </w:tc>
        <w:tc>
          <w:tcPr>
            <w:tcW w:w="6120" w:type="dxa"/>
          </w:tcPr>
          <w:p w14:paraId="29069B27" w14:textId="77777777" w:rsidR="0049791A" w:rsidRPr="0049791A" w:rsidRDefault="0049791A" w:rsidP="0049791A">
            <w:pPr>
              <w:numPr>
                <w:ilvl w:val="0"/>
                <w:numId w:val="2"/>
              </w:numPr>
              <w:spacing w:after="0" w:line="240" w:lineRule="auto"/>
              <w:ind w:left="436" w:hanging="180"/>
              <w:contextualSpacing/>
              <w:rPr>
                <w:rFonts w:eastAsia="Times New Roman" w:cstheme="minorHAnsi"/>
                <w:vertAlign w:val="superscript"/>
              </w:rPr>
            </w:pPr>
            <w:r w:rsidRPr="0049791A">
              <w:rPr>
                <w:rFonts w:eastAsia="Times New Roman" w:cstheme="minorHAnsi"/>
              </w:rPr>
              <w:t>Technical responsiveness/Full compliance to requirements and lowest evaluated price</w:t>
            </w:r>
          </w:p>
          <w:p w14:paraId="7D7AFB4F" w14:textId="77777777" w:rsidR="0049791A" w:rsidRPr="0049791A" w:rsidRDefault="0049791A" w:rsidP="0049791A">
            <w:pPr>
              <w:numPr>
                <w:ilvl w:val="0"/>
                <w:numId w:val="2"/>
              </w:numPr>
              <w:spacing w:after="0" w:line="240" w:lineRule="auto"/>
              <w:ind w:left="436" w:hanging="180"/>
              <w:contextualSpacing/>
              <w:rPr>
                <w:rFonts w:eastAsia="Times New Roman" w:cstheme="minorHAnsi"/>
              </w:rPr>
            </w:pPr>
            <w:r w:rsidRPr="0049791A">
              <w:rPr>
                <w:rFonts w:eastAsia="Times New Roman" w:cstheme="minorHAnsi"/>
              </w:rPr>
              <w:t>Delivery period</w:t>
            </w:r>
          </w:p>
          <w:p w14:paraId="72080539" w14:textId="77777777" w:rsidR="0049791A" w:rsidRPr="0049791A" w:rsidRDefault="0049791A" w:rsidP="0049791A">
            <w:pPr>
              <w:numPr>
                <w:ilvl w:val="0"/>
                <w:numId w:val="2"/>
              </w:numPr>
              <w:spacing w:after="0" w:line="240" w:lineRule="auto"/>
              <w:ind w:left="436" w:hanging="180"/>
              <w:contextualSpacing/>
              <w:rPr>
                <w:rFonts w:eastAsia="Times New Roman" w:cstheme="minorHAnsi"/>
              </w:rPr>
            </w:pPr>
            <w:r w:rsidRPr="0049791A">
              <w:rPr>
                <w:rFonts w:eastAsia="Times New Roman" w:cstheme="minorHAnsi"/>
              </w:rPr>
              <w:t>Full acceptance of the PO/Contract General Terms and Conditions</w:t>
            </w:r>
          </w:p>
        </w:tc>
      </w:tr>
      <w:tr w:rsidR="0049791A" w:rsidRPr="0049791A" w14:paraId="04D88944" w14:textId="77777777" w:rsidTr="7F8205F8">
        <w:tblPrEx>
          <w:tblLook w:val="04A0" w:firstRow="1" w:lastRow="0" w:firstColumn="1" w:lastColumn="0" w:noHBand="0" w:noVBand="1"/>
        </w:tblPrEx>
        <w:tc>
          <w:tcPr>
            <w:tcW w:w="4590" w:type="dxa"/>
          </w:tcPr>
          <w:p w14:paraId="5461C10B" w14:textId="77777777" w:rsidR="0049791A" w:rsidRPr="0049791A" w:rsidRDefault="0049791A" w:rsidP="0049791A">
            <w:pPr>
              <w:spacing w:after="0" w:line="240" w:lineRule="auto"/>
              <w:rPr>
                <w:rFonts w:eastAsia="Times New Roman" w:cstheme="minorHAnsi"/>
                <w:bCs/>
              </w:rPr>
            </w:pPr>
            <w:r w:rsidRPr="0049791A">
              <w:rPr>
                <w:rFonts w:eastAsia="Times New Roman" w:cstheme="minorHAnsi"/>
                <w:bCs/>
              </w:rPr>
              <w:t>Type of Contract to be Signed</w:t>
            </w:r>
          </w:p>
        </w:tc>
        <w:tc>
          <w:tcPr>
            <w:tcW w:w="6120" w:type="dxa"/>
          </w:tcPr>
          <w:p w14:paraId="4537B2F0" w14:textId="10ECF495" w:rsidR="0049791A" w:rsidRPr="0049791A" w:rsidRDefault="0049791A" w:rsidP="0049791A">
            <w:pPr>
              <w:spacing w:after="0" w:line="240" w:lineRule="auto"/>
              <w:rPr>
                <w:rFonts w:eastAsia="Times New Roman" w:cstheme="minorHAnsi"/>
                <w:snapToGrid w:val="0"/>
              </w:rPr>
            </w:pPr>
            <w:r w:rsidRPr="0049791A">
              <w:rPr>
                <w:rFonts w:eastAsia="Times New Roman" w:cstheme="minorHAnsi"/>
                <w:snapToGrid w:val="0"/>
              </w:rPr>
              <w:t xml:space="preserve">Purchase </w:t>
            </w:r>
            <w:r w:rsidR="00E163DE" w:rsidRPr="0049791A">
              <w:rPr>
                <w:rFonts w:eastAsia="Times New Roman" w:cstheme="minorHAnsi"/>
                <w:snapToGrid w:val="0"/>
              </w:rPr>
              <w:t>Order</w:t>
            </w:r>
            <w:r w:rsidR="00E163DE">
              <w:rPr>
                <w:rFonts w:eastAsia="Times New Roman" w:cstheme="minorHAnsi"/>
                <w:snapToGrid w:val="0"/>
              </w:rPr>
              <w:t>,</w:t>
            </w:r>
            <w:r w:rsidR="00476B46">
              <w:rPr>
                <w:rFonts w:eastAsia="Times New Roman" w:cstheme="minorHAnsi"/>
                <w:snapToGrid w:val="0"/>
              </w:rPr>
              <w:t xml:space="preserve"> Capital Financing support will be negotiated depending on </w:t>
            </w:r>
            <w:r w:rsidR="00E163DE">
              <w:rPr>
                <w:rFonts w:eastAsia="Times New Roman" w:cstheme="minorHAnsi"/>
                <w:snapToGrid w:val="0"/>
              </w:rPr>
              <w:t>the type</w:t>
            </w:r>
            <w:r w:rsidR="00476B46">
              <w:rPr>
                <w:rFonts w:eastAsia="Times New Roman" w:cstheme="minorHAnsi"/>
                <w:snapToGrid w:val="0"/>
              </w:rPr>
              <w:t xml:space="preserve"> of support requested.</w:t>
            </w:r>
            <w:r w:rsidRPr="0049791A">
              <w:rPr>
                <w:rFonts w:eastAsia="Times New Roman" w:cstheme="minorHAnsi"/>
                <w:snapToGrid w:val="0"/>
              </w:rPr>
              <w:t xml:space="preserve">  </w:t>
            </w:r>
          </w:p>
        </w:tc>
      </w:tr>
      <w:tr w:rsidR="0049791A" w:rsidRPr="0049791A" w14:paraId="3BEDA144" w14:textId="77777777" w:rsidTr="7F8205F8">
        <w:tc>
          <w:tcPr>
            <w:tcW w:w="4590" w:type="dxa"/>
          </w:tcPr>
          <w:p w14:paraId="0216B4A6" w14:textId="77777777" w:rsidR="0049791A" w:rsidRPr="0049791A" w:rsidRDefault="0049791A" w:rsidP="0049791A">
            <w:pPr>
              <w:spacing w:after="0" w:line="240" w:lineRule="auto"/>
              <w:rPr>
                <w:rFonts w:eastAsia="Times New Roman" w:cstheme="minorHAnsi"/>
              </w:rPr>
            </w:pPr>
            <w:r w:rsidRPr="0049791A">
              <w:rPr>
                <w:rFonts w:eastAsia="Times New Roman" w:cstheme="minorHAnsi"/>
              </w:rPr>
              <w:t>Special Conditions of Contract</w:t>
            </w:r>
          </w:p>
        </w:tc>
        <w:tc>
          <w:tcPr>
            <w:tcW w:w="6120" w:type="dxa"/>
          </w:tcPr>
          <w:p w14:paraId="3C1CE799" w14:textId="77777777" w:rsidR="0049791A" w:rsidRPr="0049791A" w:rsidRDefault="0049791A" w:rsidP="0049791A">
            <w:pPr>
              <w:spacing w:after="0" w:line="240" w:lineRule="auto"/>
              <w:rPr>
                <w:rFonts w:eastAsia="Times New Roman" w:cstheme="minorHAnsi"/>
                <w:snapToGrid w:val="0"/>
                <w:color w:val="000000"/>
              </w:rPr>
            </w:pPr>
            <w:r w:rsidRPr="0049791A">
              <w:rPr>
                <w:rFonts w:eastAsia="Times New Roman" w:cstheme="minorHAnsi"/>
                <w:snapToGrid w:val="0"/>
              </w:rPr>
              <w:t>Failure to comply with delivery date above shall be a basis for cancellation</w:t>
            </w:r>
            <w:r w:rsidRPr="0049791A">
              <w:rPr>
                <w:rFonts w:eastAsia="Times New Roman" w:cstheme="minorHAnsi"/>
                <w:snapToGrid w:val="0"/>
                <w:color w:val="000000"/>
              </w:rPr>
              <w:t xml:space="preserve">. </w:t>
            </w:r>
            <w:r w:rsidRPr="0049791A">
              <w:rPr>
                <w:rFonts w:eastAsia="Times New Roman" w:cstheme="minorHAnsi"/>
                <w:snapToGrid w:val="0"/>
              </w:rPr>
              <w:t xml:space="preserve">Forfeiture of bid security if submitted with the bids </w:t>
            </w:r>
            <w:r w:rsidRPr="0049791A">
              <w:rPr>
                <w:rFonts w:eastAsia="Times New Roman" w:cstheme="minorHAnsi"/>
                <w:snapToGrid w:val="0"/>
              </w:rPr>
              <w:lastRenderedPageBreak/>
              <w:t>if applicable. CHAI reserves the right to select any single or combination of supplier(s)</w:t>
            </w:r>
          </w:p>
        </w:tc>
      </w:tr>
      <w:tr w:rsidR="0049791A" w:rsidRPr="0049791A" w14:paraId="1F6755B6" w14:textId="77777777" w:rsidTr="7F8205F8">
        <w:tc>
          <w:tcPr>
            <w:tcW w:w="4590" w:type="dxa"/>
          </w:tcPr>
          <w:p w14:paraId="26507F87" w14:textId="77777777" w:rsidR="0049791A" w:rsidRPr="0049791A" w:rsidRDefault="0049791A" w:rsidP="0049791A">
            <w:pPr>
              <w:spacing w:after="0" w:line="240" w:lineRule="auto"/>
              <w:rPr>
                <w:rFonts w:eastAsia="Times New Roman" w:cstheme="minorHAnsi"/>
              </w:rPr>
            </w:pPr>
            <w:r w:rsidRPr="0049791A">
              <w:rPr>
                <w:rFonts w:eastAsia="Times New Roman" w:cstheme="minorHAnsi"/>
              </w:rPr>
              <w:lastRenderedPageBreak/>
              <w:t>Proposal validity</w:t>
            </w:r>
          </w:p>
        </w:tc>
        <w:tc>
          <w:tcPr>
            <w:tcW w:w="6120" w:type="dxa"/>
          </w:tcPr>
          <w:p w14:paraId="79391F01" w14:textId="6331D602" w:rsidR="0049791A" w:rsidRPr="0049791A" w:rsidRDefault="00C2674E" w:rsidP="0049791A">
            <w:pPr>
              <w:spacing w:after="0" w:line="240" w:lineRule="auto"/>
              <w:rPr>
                <w:rFonts w:eastAsia="Times New Roman" w:cstheme="minorHAnsi"/>
                <w:snapToGrid w:val="0"/>
              </w:rPr>
            </w:pPr>
            <w:r>
              <w:rPr>
                <w:rFonts w:eastAsia="Times New Roman" w:cstheme="minorHAnsi"/>
                <w:snapToGrid w:val="0"/>
              </w:rPr>
              <w:t>120</w:t>
            </w:r>
            <w:r w:rsidR="0049791A" w:rsidRPr="0049791A">
              <w:rPr>
                <w:rFonts w:eastAsia="Times New Roman" w:cstheme="minorHAnsi"/>
                <w:snapToGrid w:val="0"/>
              </w:rPr>
              <w:t xml:space="preserve"> days</w:t>
            </w:r>
          </w:p>
        </w:tc>
      </w:tr>
      <w:tr w:rsidR="0049791A" w:rsidRPr="0049791A" w14:paraId="1BF484B3" w14:textId="77777777" w:rsidTr="7F8205F8">
        <w:tc>
          <w:tcPr>
            <w:tcW w:w="4590" w:type="dxa"/>
          </w:tcPr>
          <w:p w14:paraId="5A4FF3C4" w14:textId="77777777" w:rsidR="0049791A" w:rsidRPr="0049791A" w:rsidDel="00163CAD" w:rsidRDefault="0049791A" w:rsidP="0049791A">
            <w:pPr>
              <w:spacing w:after="0" w:line="240" w:lineRule="auto"/>
              <w:rPr>
                <w:rFonts w:eastAsia="Times New Roman" w:cstheme="minorHAnsi"/>
              </w:rPr>
            </w:pPr>
            <w:r w:rsidRPr="0049791A">
              <w:rPr>
                <w:rFonts w:eastAsia="Times New Roman" w:cstheme="minorHAnsi"/>
              </w:rPr>
              <w:t>Conditions for Release of Payment</w:t>
            </w:r>
          </w:p>
        </w:tc>
        <w:tc>
          <w:tcPr>
            <w:tcW w:w="6120" w:type="dxa"/>
          </w:tcPr>
          <w:p w14:paraId="48479F70" w14:textId="77777777" w:rsidR="0049791A" w:rsidRPr="0049791A" w:rsidRDefault="0049791A" w:rsidP="0049791A">
            <w:pPr>
              <w:spacing w:after="0" w:line="240" w:lineRule="auto"/>
              <w:rPr>
                <w:rFonts w:eastAsia="Times New Roman" w:cstheme="minorHAnsi"/>
              </w:rPr>
            </w:pPr>
            <w:r w:rsidRPr="0049791A">
              <w:rPr>
                <w:rFonts w:eastAsia="Times New Roman" w:cstheme="minorHAnsi"/>
              </w:rPr>
              <w:t xml:space="preserve">Passing Inspection/Verification of Supplies </w:t>
            </w:r>
          </w:p>
          <w:p w14:paraId="7EBC617A" w14:textId="77777777" w:rsidR="0049791A" w:rsidRPr="0049791A" w:rsidDel="00307F3E" w:rsidRDefault="0049791A" w:rsidP="0049791A">
            <w:pPr>
              <w:spacing w:after="0" w:line="240" w:lineRule="auto"/>
              <w:rPr>
                <w:rFonts w:eastAsia="Times New Roman" w:cstheme="minorHAnsi"/>
              </w:rPr>
            </w:pPr>
            <w:r w:rsidRPr="0049791A">
              <w:rPr>
                <w:rFonts w:eastAsia="Times New Roman" w:cstheme="minorHAnsi"/>
              </w:rPr>
              <w:t>Written Acceptance of Goods based on full compliance with RFQ requirements by the end user</w:t>
            </w:r>
          </w:p>
        </w:tc>
      </w:tr>
      <w:tr w:rsidR="0049791A" w:rsidRPr="00912630" w14:paraId="6FEAB0A1" w14:textId="77777777" w:rsidTr="7F8205F8">
        <w:trPr>
          <w:cantSplit/>
          <w:trHeight w:val="460"/>
        </w:trPr>
        <w:tc>
          <w:tcPr>
            <w:tcW w:w="4590" w:type="dxa"/>
          </w:tcPr>
          <w:p w14:paraId="0E9398C7" w14:textId="77777777" w:rsidR="0049791A" w:rsidRPr="00912630" w:rsidRDefault="0049791A" w:rsidP="0049791A">
            <w:pPr>
              <w:spacing w:after="0" w:line="240" w:lineRule="auto"/>
              <w:rPr>
                <w:rFonts w:eastAsia="Times New Roman" w:cstheme="minorHAnsi"/>
              </w:rPr>
            </w:pPr>
            <w:r w:rsidRPr="00912630">
              <w:rPr>
                <w:rFonts w:eastAsia="Times New Roman" w:cstheme="minorHAnsi"/>
              </w:rPr>
              <w:t>Annexes to this RFQ</w:t>
            </w:r>
          </w:p>
        </w:tc>
        <w:tc>
          <w:tcPr>
            <w:tcW w:w="6120" w:type="dxa"/>
          </w:tcPr>
          <w:p w14:paraId="4F58C449" w14:textId="77777777" w:rsidR="0049791A" w:rsidRPr="00912630" w:rsidRDefault="0049791A" w:rsidP="0049791A">
            <w:pPr>
              <w:spacing w:after="0" w:line="240" w:lineRule="auto"/>
              <w:rPr>
                <w:rFonts w:eastAsia="Times New Roman" w:cstheme="minorHAnsi"/>
              </w:rPr>
            </w:pPr>
            <w:r w:rsidRPr="00912630">
              <w:rPr>
                <w:rFonts w:ascii="Segoe UI Symbol" w:eastAsia="MS Gothic" w:hAnsi="Segoe UI Symbol" w:cs="Segoe UI Symbol"/>
              </w:rPr>
              <w:t>☑</w:t>
            </w:r>
            <w:r w:rsidRPr="00912630">
              <w:rPr>
                <w:rFonts w:eastAsia="Times New Roman" w:cstheme="minorHAnsi"/>
              </w:rPr>
              <w:t xml:space="preserve">Product quantities and delivery location </w:t>
            </w:r>
            <w:r w:rsidRPr="00912630">
              <w:rPr>
                <w:rFonts w:eastAsia="Times New Roman" w:cstheme="minorHAnsi"/>
                <w:b/>
              </w:rPr>
              <w:t>(Annex A)</w:t>
            </w:r>
          </w:p>
          <w:p w14:paraId="1B6F14FD" w14:textId="77777777" w:rsidR="0049791A" w:rsidRPr="00912630" w:rsidRDefault="0049791A" w:rsidP="0049791A">
            <w:pPr>
              <w:spacing w:after="0" w:line="240" w:lineRule="auto"/>
              <w:rPr>
                <w:rFonts w:eastAsia="Times New Roman" w:cstheme="minorHAnsi"/>
              </w:rPr>
            </w:pPr>
            <w:r w:rsidRPr="00912630">
              <w:rPr>
                <w:rFonts w:ascii="Segoe UI Symbol" w:eastAsia="MS Gothic" w:hAnsi="Segoe UI Symbol" w:cs="Segoe UI Symbol"/>
              </w:rPr>
              <w:t>☑</w:t>
            </w:r>
            <w:r w:rsidRPr="00912630">
              <w:rPr>
                <w:rFonts w:eastAsia="Times New Roman" w:cstheme="minorHAnsi"/>
              </w:rPr>
              <w:t xml:space="preserve"> Technical specification </w:t>
            </w:r>
            <w:r w:rsidRPr="00912630">
              <w:rPr>
                <w:rFonts w:eastAsia="Times New Roman" w:cstheme="minorHAnsi"/>
                <w:b/>
              </w:rPr>
              <w:t>(Annex B)</w:t>
            </w:r>
          </w:p>
          <w:p w14:paraId="7B791A16" w14:textId="4875F264" w:rsidR="0049791A" w:rsidRPr="00912630" w:rsidRDefault="0049791A" w:rsidP="0049791A">
            <w:pPr>
              <w:spacing w:after="0" w:line="240" w:lineRule="auto"/>
              <w:rPr>
                <w:rFonts w:eastAsia="Times New Roman" w:cstheme="minorHAnsi"/>
                <w:b/>
              </w:rPr>
            </w:pPr>
            <w:r w:rsidRPr="00912630">
              <w:rPr>
                <w:rFonts w:ascii="Segoe UI Symbol" w:eastAsia="MS Gothic" w:hAnsi="Segoe UI Symbol" w:cs="Segoe UI Symbol"/>
              </w:rPr>
              <w:t>☑</w:t>
            </w:r>
            <w:r w:rsidRPr="00912630">
              <w:rPr>
                <w:rFonts w:eastAsia="Times New Roman" w:cstheme="minorHAnsi"/>
              </w:rPr>
              <w:t xml:space="preserve"> Code of conduct </w:t>
            </w:r>
            <w:r w:rsidRPr="00912630">
              <w:rPr>
                <w:rFonts w:eastAsia="Times New Roman" w:cstheme="minorHAnsi"/>
                <w:b/>
              </w:rPr>
              <w:t>(Annex C)</w:t>
            </w:r>
          </w:p>
        </w:tc>
      </w:tr>
      <w:tr w:rsidR="0049791A" w:rsidRPr="00912630" w14:paraId="359D31E9" w14:textId="77777777" w:rsidTr="7F8205F8">
        <w:trPr>
          <w:cantSplit/>
          <w:trHeight w:val="630"/>
        </w:trPr>
        <w:tc>
          <w:tcPr>
            <w:tcW w:w="4590" w:type="dxa"/>
          </w:tcPr>
          <w:p w14:paraId="19870D65" w14:textId="77777777" w:rsidR="0049791A" w:rsidRPr="00912630" w:rsidRDefault="0049791A" w:rsidP="0049791A">
            <w:pPr>
              <w:spacing w:after="0" w:line="240" w:lineRule="auto"/>
              <w:rPr>
                <w:rFonts w:eastAsia="Times New Roman" w:cstheme="minorHAnsi"/>
              </w:rPr>
            </w:pPr>
            <w:r w:rsidRPr="00912630">
              <w:rPr>
                <w:rFonts w:eastAsia="Times New Roman" w:cstheme="minorHAnsi"/>
              </w:rPr>
              <w:t>Contact Person for Inquiries</w:t>
            </w:r>
          </w:p>
          <w:p w14:paraId="6D19ADBC" w14:textId="77777777" w:rsidR="0049791A" w:rsidRPr="00912630" w:rsidRDefault="0049791A" w:rsidP="0049791A">
            <w:pPr>
              <w:spacing w:after="0" w:line="240" w:lineRule="auto"/>
              <w:rPr>
                <w:rFonts w:eastAsia="Times New Roman" w:cstheme="minorHAnsi"/>
              </w:rPr>
            </w:pPr>
            <w:r w:rsidRPr="00912630">
              <w:rPr>
                <w:rFonts w:eastAsia="Times New Roman" w:cstheme="minorHAnsi"/>
              </w:rPr>
              <w:t>(Written inquiries only)</w:t>
            </w:r>
          </w:p>
        </w:tc>
        <w:tc>
          <w:tcPr>
            <w:tcW w:w="6120" w:type="dxa"/>
          </w:tcPr>
          <w:p w14:paraId="45E6782D" w14:textId="2F6A2B2F" w:rsidR="0049791A" w:rsidRPr="00912630" w:rsidRDefault="6A5D3382" w:rsidP="6A5D3382">
            <w:pPr>
              <w:spacing w:after="0" w:line="240" w:lineRule="auto"/>
              <w:rPr>
                <w:rFonts w:ascii="Calibri" w:eastAsia="Calibri" w:hAnsi="Calibri" w:cs="Calibri"/>
              </w:rPr>
            </w:pPr>
            <w:r w:rsidRPr="6A5D3382">
              <w:rPr>
                <w:rFonts w:eastAsia="Times New Roman"/>
              </w:rPr>
              <w:t xml:space="preserve">All queries must be sent to </w:t>
            </w:r>
            <w:r w:rsidRPr="6A5D3382">
              <w:rPr>
                <w:rFonts w:ascii="Calibri" w:eastAsia="Calibri" w:hAnsi="Calibri" w:cs="Calibri"/>
                <w:color w:val="000000" w:themeColor="text1"/>
                <w:u w:val="single"/>
              </w:rPr>
              <w:t xml:space="preserve"> </w:t>
            </w:r>
            <w:hyperlink r:id="rId13" w:history="1">
              <w:hyperlink r:id="rId14" w:history="1">
                <w:r w:rsidR="00CC4C4F" w:rsidRPr="00CC4C4F">
                  <w:rPr>
                    <w:rStyle w:val="Hyperlink"/>
                    <w:rFonts w:ascii="Calibri" w:hAnsi="Calibri" w:cs="Calibri"/>
                  </w:rPr>
                  <w:t>drcprocurement@clintonhealthaccess.org</w:t>
                </w:r>
              </w:hyperlink>
              <w:r w:rsidR="00CC6E50" w:rsidRPr="00763DA4">
                <w:rPr>
                  <w:rStyle w:val="Hyperlink"/>
                  <w:rFonts w:ascii="Calibri" w:eastAsia="Calibri" w:hAnsi="Calibri" w:cs="Calibri"/>
                </w:rPr>
                <w:t xml:space="preserve"> </w:t>
              </w:r>
            </w:hyperlink>
          </w:p>
        </w:tc>
      </w:tr>
    </w:tbl>
    <w:p w14:paraId="773BAEF4" w14:textId="0655DB30" w:rsidR="001B6883" w:rsidRPr="00D451E4" w:rsidRDefault="001B6883" w:rsidP="00D451E4">
      <w:pPr>
        <w:pStyle w:val="ListParagraph"/>
        <w:keepNext/>
        <w:keepLines/>
        <w:numPr>
          <w:ilvl w:val="0"/>
          <w:numId w:val="8"/>
        </w:numPr>
        <w:spacing w:before="400" w:after="40" w:line="240" w:lineRule="auto"/>
        <w:jc w:val="both"/>
        <w:outlineLvl w:val="0"/>
        <w:rPr>
          <w:rStyle w:val="Strong"/>
        </w:rPr>
      </w:pPr>
      <w:r w:rsidRPr="00D451E4">
        <w:rPr>
          <w:rStyle w:val="Strong"/>
        </w:rPr>
        <w:t>Annexes</w:t>
      </w:r>
    </w:p>
    <w:p w14:paraId="6A909022" w14:textId="3B6044C9" w:rsidR="0049791A" w:rsidRPr="00D451E4" w:rsidRDefault="0049791A" w:rsidP="00CC6E50">
      <w:pPr>
        <w:keepNext/>
        <w:keepLines/>
        <w:spacing w:before="400" w:after="40" w:line="240" w:lineRule="auto"/>
        <w:ind w:left="-450"/>
        <w:jc w:val="both"/>
        <w:outlineLvl w:val="0"/>
        <w:rPr>
          <w:rFonts w:asciiTheme="majorHAnsi" w:eastAsiaTheme="majorEastAsia" w:hAnsiTheme="majorHAnsi" w:cstheme="majorBidi"/>
          <w:b/>
          <w:bCs/>
          <w:color w:val="000000" w:themeColor="text1"/>
        </w:rPr>
      </w:pPr>
      <w:r w:rsidRPr="00D451E4">
        <w:rPr>
          <w:rFonts w:asciiTheme="majorHAnsi" w:eastAsiaTheme="majorEastAsia" w:hAnsiTheme="majorHAnsi" w:cstheme="majorBidi"/>
          <w:b/>
          <w:bCs/>
          <w:color w:val="000000" w:themeColor="text1"/>
        </w:rPr>
        <w:t xml:space="preserve">Annex A: Products information and vendor details and shipping </w:t>
      </w:r>
      <w:r w:rsidR="00763DA4" w:rsidRPr="00D451E4">
        <w:rPr>
          <w:rFonts w:asciiTheme="majorHAnsi" w:eastAsiaTheme="majorEastAsia" w:hAnsiTheme="majorHAnsi" w:cstheme="majorBidi"/>
          <w:b/>
          <w:bCs/>
          <w:color w:val="000000" w:themeColor="text1"/>
        </w:rPr>
        <w:t>requirements.</w:t>
      </w:r>
    </w:p>
    <w:p w14:paraId="734FE133" w14:textId="170766D8" w:rsidR="0049791A" w:rsidRPr="00912630" w:rsidRDefault="6A5D3382" w:rsidP="00CC6E50">
      <w:pPr>
        <w:ind w:left="-450"/>
        <w:jc w:val="both"/>
      </w:pPr>
      <w:bookmarkStart w:id="2" w:name="_Hlk101384643"/>
      <w:r>
        <w:t xml:space="preserve">Product information, required quantities and detailed delivery location is found in sheet 1 and sheet 2 of Annex A. This can be </w:t>
      </w:r>
      <w:r w:rsidRPr="00763DA4">
        <w:t xml:space="preserve">found via this </w:t>
      </w:r>
      <w:hyperlink r:id="rId15" w:history="1">
        <w:r w:rsidRPr="00763DA4">
          <w:rPr>
            <w:rStyle w:val="Hyperlink"/>
          </w:rPr>
          <w:t>Product information and vendor details link</w:t>
        </w:r>
      </w:hyperlink>
      <w:r w:rsidRPr="00763DA4">
        <w:t>. Download</w:t>
      </w:r>
      <w:r>
        <w:t xml:space="preserve"> the excel sheet, complete, and include in your application. If you are unable to access this link, please contact us via </w:t>
      </w:r>
      <w:hyperlink r:id="rId16" w:history="1">
        <w:hyperlink r:id="rId17" w:history="1">
          <w:r w:rsidR="00CC4C4F" w:rsidRPr="00CC4C4F">
            <w:rPr>
              <w:rStyle w:val="Hyperlink"/>
              <w:rFonts w:ascii="Calibri" w:hAnsi="Calibri" w:cs="Calibri"/>
            </w:rPr>
            <w:t>drcprocurement@clintonhealthaccess.org</w:t>
          </w:r>
        </w:hyperlink>
        <w:r w:rsidR="00CC6E50" w:rsidRPr="00763DA4">
          <w:rPr>
            <w:rStyle w:val="Hyperlink"/>
            <w:rFonts w:ascii="Calibri" w:eastAsia="Calibri" w:hAnsi="Calibri" w:cs="Calibri"/>
          </w:rPr>
          <w:t xml:space="preserve"> </w:t>
        </w:r>
      </w:hyperlink>
      <w:r w:rsidRPr="6A5D3382">
        <w:rPr>
          <w:rFonts w:ascii="Calibri" w:eastAsia="Calibri" w:hAnsi="Calibri" w:cs="Calibri"/>
        </w:rPr>
        <w:t xml:space="preserve"> </w:t>
      </w:r>
      <w:r>
        <w:t>and we will email the documents to you. Details of the four lots are given below.</w:t>
      </w:r>
    </w:p>
    <w:p w14:paraId="1821A63B" w14:textId="3E082257" w:rsidR="6011D33F" w:rsidRPr="00D451E4" w:rsidRDefault="6011D33F" w:rsidP="2D821281">
      <w:pPr>
        <w:pStyle w:val="Heading1"/>
        <w:rPr>
          <w:b/>
          <w:bCs/>
          <w:color w:val="000000" w:themeColor="text1"/>
          <w:sz w:val="22"/>
          <w:szCs w:val="22"/>
        </w:rPr>
      </w:pPr>
      <w:r w:rsidRPr="00D451E4">
        <w:rPr>
          <w:b/>
          <w:bCs/>
          <w:color w:val="000000" w:themeColor="text1"/>
          <w:sz w:val="22"/>
          <w:szCs w:val="22"/>
        </w:rPr>
        <w:t>Lot 1</w:t>
      </w:r>
    </w:p>
    <w:tbl>
      <w:tblPr>
        <w:tblStyle w:val="TableGrid0"/>
        <w:tblW w:w="10719" w:type="dxa"/>
        <w:tblInd w:w="-725" w:type="dxa"/>
        <w:tblLook w:val="04A0" w:firstRow="1" w:lastRow="0" w:firstColumn="1" w:lastColumn="0" w:noHBand="0" w:noVBand="1"/>
      </w:tblPr>
      <w:tblGrid>
        <w:gridCol w:w="5580"/>
        <w:gridCol w:w="810"/>
        <w:gridCol w:w="1170"/>
        <w:gridCol w:w="3159"/>
      </w:tblGrid>
      <w:tr w:rsidR="2D821281" w:rsidRPr="00912630" w14:paraId="3BF2F7CB" w14:textId="77777777" w:rsidTr="00D418A2">
        <w:trPr>
          <w:trHeight w:val="287"/>
        </w:trPr>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2A6DD" w14:textId="77777777" w:rsidR="2D821281" w:rsidRPr="00912630" w:rsidRDefault="2D821281" w:rsidP="2D821281">
            <w:pPr>
              <w:ind w:left="108"/>
              <w:rPr>
                <w:b/>
                <w:bCs/>
              </w:rPr>
            </w:pPr>
            <w:r w:rsidRPr="00912630">
              <w:rPr>
                <w:b/>
                <w:bCs/>
              </w:rPr>
              <w:t>Product/</w:t>
            </w:r>
            <w:r w:rsidRPr="00912630">
              <w:rPr>
                <w:b/>
                <w:bCs/>
                <w:lang w:val="en-GB"/>
              </w:rPr>
              <w:t>Item</w:t>
            </w:r>
            <w:r w:rsidRPr="00912630">
              <w:rPr>
                <w:b/>
                <w:bCs/>
              </w:rPr>
              <w:t xml:space="preserve"> </w:t>
            </w:r>
          </w:p>
        </w:tc>
        <w:tc>
          <w:tcPr>
            <w:tcW w:w="810" w:type="dxa"/>
            <w:tcBorders>
              <w:top w:val="single" w:sz="4" w:space="0" w:color="auto"/>
              <w:left w:val="single" w:sz="4" w:space="0" w:color="000000" w:themeColor="text1"/>
              <w:bottom w:val="single" w:sz="4" w:space="0" w:color="000000" w:themeColor="text1"/>
              <w:right w:val="single" w:sz="4" w:space="0" w:color="000000" w:themeColor="text1"/>
            </w:tcBorders>
          </w:tcPr>
          <w:p w14:paraId="31D0AC73" w14:textId="77777777" w:rsidR="2D821281" w:rsidRPr="00912630" w:rsidRDefault="2D821281" w:rsidP="2D821281">
            <w:pPr>
              <w:ind w:left="93"/>
              <w:rPr>
                <w:b/>
                <w:bCs/>
              </w:rPr>
            </w:pPr>
            <w:r w:rsidRPr="00912630">
              <w:rPr>
                <w:b/>
                <w:bCs/>
              </w:rPr>
              <w:t>Qty</w:t>
            </w:r>
          </w:p>
        </w:tc>
        <w:tc>
          <w:tcPr>
            <w:tcW w:w="1170" w:type="dxa"/>
            <w:tcBorders>
              <w:top w:val="single" w:sz="4" w:space="0" w:color="auto"/>
              <w:left w:val="single" w:sz="4" w:space="0" w:color="000000" w:themeColor="text1"/>
              <w:bottom w:val="single" w:sz="4" w:space="0" w:color="000000" w:themeColor="text1"/>
              <w:right w:val="single" w:sz="4" w:space="0" w:color="000000" w:themeColor="text1"/>
            </w:tcBorders>
          </w:tcPr>
          <w:p w14:paraId="7126A70E" w14:textId="77777777" w:rsidR="2D821281" w:rsidRPr="00912630" w:rsidRDefault="2D821281" w:rsidP="2D821281">
            <w:pPr>
              <w:ind w:left="93"/>
              <w:rPr>
                <w:b/>
                <w:bCs/>
              </w:rPr>
            </w:pPr>
            <w:r w:rsidRPr="00912630">
              <w:rPr>
                <w:b/>
                <w:bCs/>
              </w:rPr>
              <w:t xml:space="preserve">Country </w:t>
            </w:r>
          </w:p>
        </w:tc>
        <w:tc>
          <w:tcPr>
            <w:tcW w:w="3159" w:type="dxa"/>
            <w:tcBorders>
              <w:top w:val="single" w:sz="4" w:space="0" w:color="auto"/>
              <w:left w:val="single" w:sz="4" w:space="0" w:color="000000" w:themeColor="text1"/>
              <w:bottom w:val="single" w:sz="4" w:space="0" w:color="000000" w:themeColor="text1"/>
              <w:right w:val="single" w:sz="4" w:space="0" w:color="000000" w:themeColor="text1"/>
            </w:tcBorders>
          </w:tcPr>
          <w:p w14:paraId="4C37C39C" w14:textId="23209247" w:rsidR="2D821281" w:rsidRPr="00F71E20" w:rsidRDefault="00F71E20" w:rsidP="2D821281">
            <w:pPr>
              <w:ind w:left="107"/>
              <w:rPr>
                <w:b/>
                <w:bCs/>
              </w:rPr>
            </w:pPr>
            <w:r w:rsidRPr="00F71E20">
              <w:rPr>
                <w:rFonts w:eastAsia="Times New Roman" w:cstheme="minorHAnsi"/>
                <w:b/>
                <w:bCs/>
              </w:rPr>
              <w:t>Latest Expected Delivery Date</w:t>
            </w:r>
          </w:p>
        </w:tc>
      </w:tr>
      <w:tr w:rsidR="00021B48" w:rsidRPr="00912630" w14:paraId="08B86596" w14:textId="77777777" w:rsidTr="00CC6E50">
        <w:trPr>
          <w:trHeight w:val="425"/>
        </w:trPr>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4BFED" w14:textId="3B716D57" w:rsidR="00021B48" w:rsidRPr="00912630" w:rsidRDefault="21B0AB6A" w:rsidP="00021B48">
            <w:pPr>
              <w:ind w:left="108"/>
            </w:pPr>
            <w:r>
              <w:t xml:space="preserve">Supply of mLOX to CUK for 12 months (including transportation to </w:t>
            </w:r>
            <w:r w:rsidR="00461446">
              <w:t>CUK</w:t>
            </w:r>
            <w: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3C8CF" w14:textId="681FFC62" w:rsidR="00021B48" w:rsidRPr="00912630" w:rsidRDefault="00021B48" w:rsidP="00021B48">
            <w:pPr>
              <w:ind w:left="93"/>
              <w:rPr>
                <w:lang w:val="en-GB"/>
              </w:rPr>
            </w:pPr>
            <w:r w:rsidRPr="14F81A07">
              <w:rPr>
                <w:lang w:val="en-GB"/>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B5B49" w14:textId="61022777" w:rsidR="00021B48" w:rsidRPr="00912630" w:rsidRDefault="7F8205F8" w:rsidP="00763DA4">
            <w:pPr>
              <w:rPr>
                <w:lang w:val="en-GB"/>
              </w:rPr>
            </w:pPr>
            <w:r w:rsidRPr="7F8205F8">
              <w:rPr>
                <w:lang w:val="en-GB"/>
              </w:rPr>
              <w:t xml:space="preserve"> DRC</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9A7D5" w14:textId="77B970A8" w:rsidR="00021B48" w:rsidRPr="00912630" w:rsidRDefault="00D418A2" w:rsidP="00021B48">
            <w:pPr>
              <w:ind w:left="107"/>
            </w:pPr>
            <w:r>
              <w:t>January 202</w:t>
            </w:r>
            <w:r w:rsidR="00A10D96">
              <w:t>5</w:t>
            </w:r>
          </w:p>
        </w:tc>
      </w:tr>
      <w:tr w:rsidR="7F8205F8" w14:paraId="7B8AA596" w14:textId="77777777" w:rsidTr="00CC6E50">
        <w:trPr>
          <w:trHeight w:val="425"/>
        </w:trPr>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A1F22" w14:textId="31E2E097" w:rsidR="7F8205F8" w:rsidRDefault="7F8205F8">
            <w:pPr>
              <w:ind w:left="108"/>
            </w:pPr>
            <w:r>
              <w:t>Supply of mLOX to L2G tank for 12 months (including transportation to CUK)</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7F90C" w14:textId="54700AF3" w:rsidR="7F8205F8" w:rsidRDefault="7F8205F8" w:rsidP="7F8205F8">
            <w:pPr>
              <w:rPr>
                <w:lang w:val="en-GB"/>
              </w:rPr>
            </w:pPr>
            <w:r w:rsidRPr="7F8205F8">
              <w:rPr>
                <w:lang w:val="en-GB"/>
              </w:rPr>
              <w:t xml:space="preserve"> 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E96D4" w14:textId="6CF70C91" w:rsidR="7F8205F8" w:rsidRDefault="7F8205F8" w:rsidP="7F8205F8">
            <w:pPr>
              <w:rPr>
                <w:lang w:val="en-GB"/>
              </w:rPr>
            </w:pPr>
            <w:r w:rsidRPr="7F8205F8">
              <w:rPr>
                <w:lang w:val="en-GB"/>
              </w:rPr>
              <w:t xml:space="preserve"> DRC</w:t>
            </w:r>
          </w:p>
        </w:tc>
        <w:tc>
          <w:tcPr>
            <w:tcW w:w="31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9AA42" w14:textId="19CBA57B" w:rsidR="7F8205F8" w:rsidRDefault="00D418A2" w:rsidP="7F8205F8">
            <w:pPr>
              <w:ind w:left="107"/>
            </w:pPr>
            <w:r>
              <w:t>January</w:t>
            </w:r>
            <w:r w:rsidR="7F8205F8">
              <w:t xml:space="preserve"> 202</w:t>
            </w:r>
            <w:r w:rsidR="00A10D96">
              <w:t>5</w:t>
            </w:r>
          </w:p>
          <w:p w14:paraId="681253A7" w14:textId="70778726" w:rsidR="7F8205F8" w:rsidRDefault="7F8205F8" w:rsidP="7F8205F8"/>
        </w:tc>
      </w:tr>
    </w:tbl>
    <w:p w14:paraId="16EEAC14" w14:textId="494A8E6E" w:rsidR="00BF511D" w:rsidRPr="00D451E4" w:rsidRDefault="00BF511D" w:rsidP="00BF511D">
      <w:pPr>
        <w:pStyle w:val="Heading1"/>
        <w:rPr>
          <w:b/>
          <w:bCs/>
          <w:color w:val="000000" w:themeColor="text1"/>
          <w:sz w:val="22"/>
          <w:szCs w:val="22"/>
        </w:rPr>
      </w:pPr>
      <w:bookmarkStart w:id="3" w:name="_Hlk124241052"/>
      <w:bookmarkStart w:id="4" w:name="_Hlk100673108"/>
      <w:bookmarkStart w:id="5" w:name="_Hlk100675188"/>
      <w:bookmarkEnd w:id="2"/>
      <w:bookmarkEnd w:id="3"/>
      <w:r w:rsidRPr="00D451E4">
        <w:rPr>
          <w:b/>
          <w:bCs/>
          <w:color w:val="000000" w:themeColor="text1"/>
          <w:sz w:val="22"/>
          <w:szCs w:val="22"/>
        </w:rPr>
        <w:t>Lot 2</w:t>
      </w:r>
    </w:p>
    <w:tbl>
      <w:tblPr>
        <w:tblStyle w:val="TableGrid0"/>
        <w:tblW w:w="10710" w:type="dxa"/>
        <w:tblInd w:w="-725" w:type="dxa"/>
        <w:tblLook w:val="04A0" w:firstRow="1" w:lastRow="0" w:firstColumn="1" w:lastColumn="0" w:noHBand="0" w:noVBand="1"/>
      </w:tblPr>
      <w:tblGrid>
        <w:gridCol w:w="5580"/>
        <w:gridCol w:w="990"/>
        <w:gridCol w:w="1170"/>
        <w:gridCol w:w="2970"/>
      </w:tblGrid>
      <w:tr w:rsidR="00BF511D" w14:paraId="70880379" w14:textId="77777777" w:rsidTr="00D418A2">
        <w:trPr>
          <w:trHeight w:val="323"/>
        </w:trPr>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C473E" w14:textId="77777777" w:rsidR="00BF511D" w:rsidRDefault="00BF511D" w:rsidP="002E06DC">
            <w:pPr>
              <w:ind w:left="108"/>
              <w:rPr>
                <w:b/>
                <w:bCs/>
              </w:rPr>
            </w:pPr>
            <w:r w:rsidRPr="14F81A07">
              <w:rPr>
                <w:b/>
                <w:bCs/>
              </w:rPr>
              <w:t>Product/</w:t>
            </w:r>
            <w:r w:rsidRPr="14F81A07">
              <w:rPr>
                <w:b/>
                <w:bCs/>
                <w:lang w:val="en-GB"/>
              </w:rPr>
              <w:t>Item</w:t>
            </w:r>
            <w:r w:rsidRPr="14F81A07">
              <w:rPr>
                <w:b/>
                <w:bCs/>
              </w:rPr>
              <w:t xml:space="preserve"> </w:t>
            </w:r>
          </w:p>
        </w:tc>
        <w:tc>
          <w:tcPr>
            <w:tcW w:w="990" w:type="dxa"/>
            <w:tcBorders>
              <w:top w:val="single" w:sz="4" w:space="0" w:color="auto"/>
              <w:left w:val="single" w:sz="4" w:space="0" w:color="000000" w:themeColor="text1"/>
              <w:bottom w:val="single" w:sz="4" w:space="0" w:color="000000" w:themeColor="text1"/>
              <w:right w:val="single" w:sz="4" w:space="0" w:color="000000" w:themeColor="text1"/>
            </w:tcBorders>
          </w:tcPr>
          <w:p w14:paraId="5255F668" w14:textId="77777777" w:rsidR="00BF511D" w:rsidRDefault="00BF511D" w:rsidP="002E06DC">
            <w:pPr>
              <w:ind w:left="93"/>
              <w:rPr>
                <w:b/>
                <w:bCs/>
              </w:rPr>
            </w:pPr>
            <w:r w:rsidRPr="14F81A07">
              <w:rPr>
                <w:b/>
                <w:bCs/>
              </w:rPr>
              <w:t>Qty</w:t>
            </w:r>
          </w:p>
        </w:tc>
        <w:tc>
          <w:tcPr>
            <w:tcW w:w="1170" w:type="dxa"/>
            <w:tcBorders>
              <w:top w:val="single" w:sz="4" w:space="0" w:color="auto"/>
              <w:left w:val="single" w:sz="4" w:space="0" w:color="000000" w:themeColor="text1"/>
              <w:bottom w:val="single" w:sz="4" w:space="0" w:color="000000" w:themeColor="text1"/>
              <w:right w:val="single" w:sz="4" w:space="0" w:color="000000" w:themeColor="text1"/>
            </w:tcBorders>
          </w:tcPr>
          <w:p w14:paraId="46DAC84D" w14:textId="77777777" w:rsidR="00BF511D" w:rsidRDefault="00BF511D" w:rsidP="002E06DC">
            <w:pPr>
              <w:ind w:left="93"/>
              <w:rPr>
                <w:b/>
                <w:bCs/>
              </w:rPr>
            </w:pPr>
            <w:r w:rsidRPr="14F81A07">
              <w:rPr>
                <w:b/>
                <w:bCs/>
              </w:rPr>
              <w:t xml:space="preserve">Country </w:t>
            </w:r>
          </w:p>
        </w:tc>
        <w:tc>
          <w:tcPr>
            <w:tcW w:w="2970" w:type="dxa"/>
            <w:tcBorders>
              <w:top w:val="single" w:sz="4" w:space="0" w:color="auto"/>
              <w:left w:val="single" w:sz="4" w:space="0" w:color="000000" w:themeColor="text1"/>
              <w:bottom w:val="single" w:sz="4" w:space="0" w:color="000000" w:themeColor="text1"/>
              <w:right w:val="single" w:sz="4" w:space="0" w:color="000000" w:themeColor="text1"/>
            </w:tcBorders>
          </w:tcPr>
          <w:p w14:paraId="5243079D" w14:textId="7CCEEC93" w:rsidR="00BF511D" w:rsidRPr="00F71E20" w:rsidRDefault="00F71E20" w:rsidP="002E06DC">
            <w:pPr>
              <w:ind w:left="107"/>
              <w:rPr>
                <w:b/>
                <w:bCs/>
              </w:rPr>
            </w:pPr>
            <w:r w:rsidRPr="00F71E20">
              <w:rPr>
                <w:rFonts w:eastAsia="Times New Roman" w:cstheme="minorHAnsi"/>
                <w:b/>
                <w:bCs/>
              </w:rPr>
              <w:t>Latest Expected Delivery Date</w:t>
            </w:r>
          </w:p>
        </w:tc>
      </w:tr>
      <w:tr w:rsidR="00BF511D" w14:paraId="27CA771D" w14:textId="77777777" w:rsidTr="00F71E20">
        <w:trPr>
          <w:trHeight w:val="425"/>
        </w:trPr>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A3950" w14:textId="3FB9DBC1" w:rsidR="00BF511D" w:rsidRDefault="00CC6E50" w:rsidP="002E06DC">
            <w:r>
              <w:rPr>
                <w:rFonts w:cs="Times New Roman"/>
              </w:rPr>
              <w:t xml:space="preserve"> </w:t>
            </w:r>
            <w:r w:rsidR="7F8205F8" w:rsidRPr="7F8205F8">
              <w:rPr>
                <w:rFonts w:cs="Times New Roman"/>
              </w:rPr>
              <w:t>L2G filling system operations (12 months)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56B63" w14:textId="77777777" w:rsidR="00BF511D" w:rsidRDefault="00BF511D" w:rsidP="002E06DC">
            <w:pPr>
              <w:ind w:left="93"/>
              <w:rPr>
                <w:lang w:val="en-GB"/>
              </w:rPr>
            </w:pPr>
            <w:r w:rsidRPr="14F81A07">
              <w:rPr>
                <w:lang w:val="en-GB"/>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566B8" w14:textId="77777777" w:rsidR="00BF511D" w:rsidRDefault="00BF511D" w:rsidP="002E06DC">
            <w:pPr>
              <w:ind w:left="93"/>
              <w:rPr>
                <w:lang w:val="en-GB"/>
              </w:rPr>
            </w:pPr>
            <w:r w:rsidRPr="14F81A07">
              <w:rPr>
                <w:lang w:val="en-GB"/>
              </w:rPr>
              <w:t>DRC</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26BB3" w14:textId="48A28363" w:rsidR="00BF511D" w:rsidRDefault="00D418A2" w:rsidP="00F71E20">
            <w:pPr>
              <w:ind w:left="107"/>
            </w:pPr>
            <w:r>
              <w:t>January</w:t>
            </w:r>
            <w:r w:rsidR="00F71E20">
              <w:t xml:space="preserve"> 202</w:t>
            </w:r>
            <w:r w:rsidR="00A10D96">
              <w:t>5</w:t>
            </w:r>
          </w:p>
        </w:tc>
      </w:tr>
      <w:tr w:rsidR="7F8205F8" w14:paraId="6F4D22DC" w14:textId="77777777" w:rsidTr="00F71E20">
        <w:trPr>
          <w:trHeight w:val="425"/>
        </w:trPr>
        <w:tc>
          <w:tcPr>
            <w:tcW w:w="5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CB6B9" w14:textId="7D39CF8C" w:rsidR="7F8205F8" w:rsidRDefault="00CC6E50" w:rsidP="7F8205F8">
            <w:pPr>
              <w:rPr>
                <w:rFonts w:cs="Times New Roman"/>
              </w:rPr>
            </w:pPr>
            <w:r>
              <w:rPr>
                <w:rFonts w:cs="Times New Roman"/>
              </w:rPr>
              <w:t xml:space="preserve"> </w:t>
            </w:r>
            <w:r w:rsidR="7F8205F8" w:rsidRPr="7F8205F8">
              <w:rPr>
                <w:rFonts w:cs="Times New Roman"/>
              </w:rPr>
              <w:t xml:space="preserve">Trainings/capacity building </w:t>
            </w:r>
            <w:r w:rsidR="001B6883">
              <w:rPr>
                <w:rFonts w:cs="Times New Roman"/>
              </w:rPr>
              <w:t xml:space="preserve">and refresher trainings </w:t>
            </w:r>
            <w:r w:rsidR="7F8205F8" w:rsidRPr="7F8205F8">
              <w:rPr>
                <w:rFonts w:cs="Times New Roman"/>
              </w:rPr>
              <w:t>associated with L2G filling operations (12 months)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F4F55" w14:textId="02E23B51" w:rsidR="7F8205F8" w:rsidRDefault="7F8205F8" w:rsidP="7F8205F8">
            <w:pPr>
              <w:rPr>
                <w:lang w:val="en-GB"/>
              </w:rPr>
            </w:pPr>
            <w:r w:rsidRPr="7F8205F8">
              <w:rPr>
                <w:lang w:val="en-GB"/>
              </w:rPr>
              <w:t xml:space="preserve"> </w:t>
            </w:r>
            <w:r w:rsidR="00F71E20">
              <w:rPr>
                <w:lang w:val="en-GB"/>
              </w:rPr>
              <w:t xml:space="preserve"> </w:t>
            </w:r>
            <w:r w:rsidRPr="7F8205F8">
              <w:rPr>
                <w:lang w:val="en-GB"/>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E0D69" w14:textId="14D9335B" w:rsidR="7F8205F8" w:rsidRDefault="7F8205F8" w:rsidP="7F8205F8">
            <w:pPr>
              <w:ind w:left="93"/>
              <w:rPr>
                <w:lang w:val="en-GB"/>
              </w:rPr>
            </w:pPr>
            <w:r w:rsidRPr="7F8205F8">
              <w:rPr>
                <w:lang w:val="en-GB"/>
              </w:rPr>
              <w:t>DRC</w:t>
            </w:r>
          </w:p>
          <w:p w14:paraId="18FEDD73" w14:textId="54C04128" w:rsidR="7F8205F8" w:rsidRDefault="7F8205F8" w:rsidP="7F8205F8">
            <w:pPr>
              <w:rPr>
                <w:lang w:val="en-GB"/>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05BAD" w14:textId="4E7E8A47" w:rsidR="00F71E20" w:rsidRDefault="00D418A2" w:rsidP="00F71E20">
            <w:pPr>
              <w:ind w:left="107"/>
            </w:pPr>
            <w:r>
              <w:t>January</w:t>
            </w:r>
            <w:r w:rsidR="00F71E20">
              <w:t xml:space="preserve"> 202</w:t>
            </w:r>
            <w:r w:rsidR="00A10D96">
              <w:t>5</w:t>
            </w:r>
          </w:p>
          <w:p w14:paraId="6EBB53A6" w14:textId="5E31D0C1" w:rsidR="7F8205F8" w:rsidRDefault="7F8205F8" w:rsidP="7F8205F8"/>
        </w:tc>
      </w:tr>
    </w:tbl>
    <w:p w14:paraId="17290D99" w14:textId="72902AC9" w:rsidR="00503B40" w:rsidRPr="00D451E4" w:rsidRDefault="00503B40" w:rsidP="00CC6E50">
      <w:pPr>
        <w:pStyle w:val="Heading1"/>
        <w:jc w:val="both"/>
        <w:rPr>
          <w:b/>
          <w:bCs/>
          <w:color w:val="000000" w:themeColor="text1"/>
          <w:sz w:val="22"/>
          <w:szCs w:val="22"/>
        </w:rPr>
      </w:pPr>
      <w:r w:rsidRPr="00D451E4">
        <w:rPr>
          <w:b/>
          <w:bCs/>
          <w:color w:val="000000" w:themeColor="text1"/>
          <w:sz w:val="22"/>
          <w:szCs w:val="22"/>
        </w:rPr>
        <w:t xml:space="preserve">Annex </w:t>
      </w:r>
      <w:r w:rsidR="00635B92" w:rsidRPr="00D451E4">
        <w:rPr>
          <w:b/>
          <w:bCs/>
          <w:color w:val="000000" w:themeColor="text1"/>
          <w:sz w:val="22"/>
          <w:szCs w:val="22"/>
        </w:rPr>
        <w:t>B</w:t>
      </w:r>
      <w:r w:rsidR="008C6D5B" w:rsidRPr="00D451E4">
        <w:rPr>
          <w:b/>
          <w:bCs/>
          <w:color w:val="000000" w:themeColor="text1"/>
          <w:sz w:val="22"/>
          <w:szCs w:val="22"/>
        </w:rPr>
        <w:t>: Technical Specification</w:t>
      </w:r>
      <w:bookmarkEnd w:id="4"/>
    </w:p>
    <w:p w14:paraId="7F4553F4" w14:textId="4A03BB91" w:rsidR="00513A68" w:rsidRPr="00912630" w:rsidRDefault="6A5D3382" w:rsidP="00CC6E50">
      <w:pPr>
        <w:ind w:left="-450"/>
        <w:jc w:val="both"/>
        <w:rPr>
          <w:sz w:val="24"/>
          <w:szCs w:val="24"/>
        </w:rPr>
      </w:pPr>
      <w:bookmarkStart w:id="6" w:name="_Hlk100677323"/>
      <w:bookmarkEnd w:id="5"/>
      <w:r>
        <w:t xml:space="preserve">Technical specifications for items can be found via the following Specification and checklist </w:t>
      </w:r>
      <w:r w:rsidRPr="00763DA4">
        <w:t xml:space="preserve">links: </w:t>
      </w:r>
      <w:hyperlink r:id="rId18" w:history="1">
        <w:r w:rsidRPr="00763DA4">
          <w:rPr>
            <w:rStyle w:val="Hyperlink"/>
          </w:rPr>
          <w:t>Lot 1</w:t>
        </w:r>
      </w:hyperlink>
      <w:r w:rsidRPr="00763DA4">
        <w:t xml:space="preserve">, </w:t>
      </w:r>
      <w:hyperlink r:id="rId19" w:history="1">
        <w:r w:rsidRPr="00763DA4">
          <w:rPr>
            <w:rStyle w:val="Hyperlink"/>
          </w:rPr>
          <w:t>Lot 2</w:t>
        </w:r>
      </w:hyperlink>
      <w:r w:rsidRPr="00763DA4">
        <w:t xml:space="preserve">. Download the relevant excel sheet(s), complete, and </w:t>
      </w:r>
      <w:r w:rsidR="00763DA4" w:rsidRPr="00763DA4">
        <w:t>include it</w:t>
      </w:r>
      <w:r w:rsidRPr="00763DA4">
        <w:t xml:space="preserve"> in your application</w:t>
      </w:r>
      <w:bookmarkEnd w:id="6"/>
      <w:r w:rsidRPr="00763DA4">
        <w:t xml:space="preserve">. Please provide relevant supporting documentation to support claims in Annex B. If you are unable to access the link(s), please contact us via </w:t>
      </w:r>
      <w:hyperlink r:id="rId20" w:history="1">
        <w:r w:rsidR="00CC4C4F" w:rsidRPr="00CC4C4F">
          <w:rPr>
            <w:rStyle w:val="Hyperlink"/>
            <w:rFonts w:ascii="Calibri" w:hAnsi="Calibri" w:cs="Calibri"/>
          </w:rPr>
          <w:t>drcprocurement@clintonhealthaccess.org</w:t>
        </w:r>
      </w:hyperlink>
      <w:r w:rsidR="00CC4C4F">
        <w:rPr>
          <w:rFonts w:ascii="Calibri" w:hAnsi="Calibri" w:cs="Calibri"/>
        </w:rPr>
        <w:t xml:space="preserve"> </w:t>
      </w:r>
      <w:r>
        <w:t>and</w:t>
      </w:r>
      <w:r w:rsidRPr="6A5D3382">
        <w:rPr>
          <w:sz w:val="24"/>
          <w:szCs w:val="24"/>
        </w:rPr>
        <w:t xml:space="preserve"> we will email the documents to you.</w:t>
      </w:r>
    </w:p>
    <w:p w14:paraId="17F32EF5" w14:textId="3CCF29B7" w:rsidR="00393E9D" w:rsidRPr="00912630" w:rsidRDefault="00513A68" w:rsidP="00CC6E50">
      <w:pPr>
        <w:pStyle w:val="Heading1"/>
        <w:jc w:val="both"/>
        <w:rPr>
          <w:b/>
          <w:bCs/>
          <w:color w:val="000000" w:themeColor="text1"/>
          <w:sz w:val="24"/>
          <w:szCs w:val="24"/>
        </w:rPr>
      </w:pPr>
      <w:r w:rsidRPr="00912630">
        <w:rPr>
          <w:b/>
          <w:bCs/>
          <w:color w:val="000000" w:themeColor="text1"/>
          <w:sz w:val="24"/>
          <w:szCs w:val="24"/>
        </w:rPr>
        <w:lastRenderedPageBreak/>
        <w:t xml:space="preserve">Annex </w:t>
      </w:r>
      <w:r w:rsidR="00635B92" w:rsidRPr="00912630">
        <w:rPr>
          <w:b/>
          <w:bCs/>
          <w:color w:val="000000" w:themeColor="text1"/>
          <w:sz w:val="24"/>
          <w:szCs w:val="24"/>
        </w:rPr>
        <w:t>C</w:t>
      </w:r>
      <w:r w:rsidRPr="00912630">
        <w:rPr>
          <w:b/>
          <w:bCs/>
          <w:color w:val="000000" w:themeColor="text1"/>
          <w:sz w:val="24"/>
          <w:szCs w:val="24"/>
        </w:rPr>
        <w:t xml:space="preserve">: CHAI </w:t>
      </w:r>
      <w:bookmarkStart w:id="7" w:name="_Hlk101864540"/>
      <w:r w:rsidRPr="00912630">
        <w:rPr>
          <w:b/>
          <w:bCs/>
          <w:color w:val="000000" w:themeColor="text1"/>
          <w:sz w:val="24"/>
          <w:szCs w:val="24"/>
        </w:rPr>
        <w:t xml:space="preserve">code of conduct </w:t>
      </w:r>
      <w:r w:rsidR="005C467F" w:rsidRPr="00912630">
        <w:rPr>
          <w:b/>
          <w:bCs/>
          <w:color w:val="000000" w:themeColor="text1"/>
          <w:sz w:val="24"/>
          <w:szCs w:val="24"/>
        </w:rPr>
        <w:t>for suppliers</w:t>
      </w:r>
      <w:bookmarkEnd w:id="7"/>
    </w:p>
    <w:p w14:paraId="3E5ECD56" w14:textId="5F3684B6" w:rsidR="00393E9D" w:rsidRPr="00912630" w:rsidRDefault="5BE030D5" w:rsidP="00CC6E50">
      <w:pPr>
        <w:ind w:left="-540"/>
        <w:jc w:val="both"/>
      </w:pPr>
      <w:r>
        <w:t xml:space="preserve">The CHAI code of conduct for suppliers is a minimum set of requirements that suppliers must meet to qualify to do business with CHAI and remain in good standing with the organization. Please read the document via this link </w:t>
      </w:r>
      <w:hyperlink r:id="rId21">
        <w:r w:rsidRPr="5BE030D5">
          <w:rPr>
            <w:rStyle w:val="Hyperlink"/>
          </w:rPr>
          <w:t>CHAI Code of Conduct for Suppliers</w:t>
        </w:r>
      </w:hyperlink>
      <w:r>
        <w:t xml:space="preserve"> and apply for this solicitation only if your organization can comply with these requirements. </w:t>
      </w:r>
    </w:p>
    <w:p w14:paraId="7A598081" w14:textId="3C0A435B" w:rsidR="451B0BFB" w:rsidRDefault="451B0BFB" w:rsidP="14F81A07">
      <w:pPr>
        <w:pStyle w:val="Heading1"/>
        <w:rPr>
          <w:b/>
          <w:bCs/>
          <w:color w:val="000000" w:themeColor="text1"/>
          <w:sz w:val="24"/>
          <w:szCs w:val="24"/>
        </w:rPr>
      </w:pPr>
      <w:r w:rsidRPr="00912630">
        <w:rPr>
          <w:b/>
          <w:bCs/>
          <w:color w:val="000000" w:themeColor="text1"/>
          <w:sz w:val="24"/>
          <w:szCs w:val="24"/>
        </w:rPr>
        <w:t xml:space="preserve">Annex D: Proposed supply chain of custody for </w:t>
      </w:r>
      <w:r w:rsidR="00763DA4" w:rsidRPr="00912630">
        <w:rPr>
          <w:b/>
          <w:bCs/>
          <w:color w:val="000000" w:themeColor="text1"/>
          <w:sz w:val="24"/>
          <w:szCs w:val="24"/>
        </w:rPr>
        <w:t>mLOX.</w:t>
      </w:r>
    </w:p>
    <w:p w14:paraId="42EAA172" w14:textId="3EE250C5" w:rsidR="29AFD034" w:rsidRDefault="00763DA4" w:rsidP="0898367B">
      <w:pPr>
        <w:ind w:left="-540"/>
      </w:pPr>
      <w:r w:rsidRPr="00763DA4">
        <w:rPr>
          <w:noProof/>
        </w:rPr>
        <w:t xml:space="preserve"> </w:t>
      </w:r>
      <w:r w:rsidRPr="00763DA4">
        <w:rPr>
          <w:noProof/>
        </w:rPr>
        <w:drawing>
          <wp:inline distT="0" distB="0" distL="0" distR="0" wp14:anchorId="42A12444" wp14:editId="7C4A1E32">
            <wp:extent cx="6611477" cy="3726586"/>
            <wp:effectExtent l="0" t="0" r="0" b="7620"/>
            <wp:docPr id="2043423764" name="Picture 1" descr="A diagram of a truck ch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423764" name="Picture 1" descr="A diagram of a truck chain&#10;&#10;Description automatically generated"/>
                    <pic:cNvPicPr/>
                  </pic:nvPicPr>
                  <pic:blipFill>
                    <a:blip r:embed="rId22"/>
                    <a:stretch>
                      <a:fillRect/>
                    </a:stretch>
                  </pic:blipFill>
                  <pic:spPr>
                    <a:xfrm>
                      <a:off x="0" y="0"/>
                      <a:ext cx="6623370" cy="3733290"/>
                    </a:xfrm>
                    <a:prstGeom prst="rect">
                      <a:avLst/>
                    </a:prstGeom>
                  </pic:spPr>
                </pic:pic>
              </a:graphicData>
            </a:graphic>
          </wp:inline>
        </w:drawing>
      </w:r>
    </w:p>
    <w:sectPr w:rsidR="29AFD034" w:rsidSect="003074DB">
      <w:headerReference w:type="default" r:id="rId23"/>
      <w:footerReference w:type="default" r:id="rId24"/>
      <w:pgSz w:w="12240" w:h="15840"/>
      <w:pgMar w:top="198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C6797" w14:textId="77777777" w:rsidR="00631F3E" w:rsidRDefault="00631F3E" w:rsidP="006646DC">
      <w:pPr>
        <w:spacing w:after="0" w:line="240" w:lineRule="auto"/>
      </w:pPr>
      <w:r>
        <w:separator/>
      </w:r>
    </w:p>
  </w:endnote>
  <w:endnote w:type="continuationSeparator" w:id="0">
    <w:p w14:paraId="70D54279" w14:textId="77777777" w:rsidR="00631F3E" w:rsidRDefault="00631F3E" w:rsidP="006646DC">
      <w:pPr>
        <w:spacing w:after="0" w:line="240" w:lineRule="auto"/>
      </w:pPr>
      <w:r>
        <w:continuationSeparator/>
      </w:r>
    </w:p>
  </w:endnote>
  <w:endnote w:type="continuationNotice" w:id="1">
    <w:p w14:paraId="5AF829E2" w14:textId="77777777" w:rsidR="00631F3E" w:rsidRDefault="00631F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338835"/>
      <w:docPartObj>
        <w:docPartGallery w:val="Page Numbers (Bottom of Page)"/>
        <w:docPartUnique/>
      </w:docPartObj>
    </w:sdtPr>
    <w:sdtEndPr>
      <w:rPr>
        <w:noProof/>
      </w:rPr>
    </w:sdtEndPr>
    <w:sdtContent>
      <w:p w14:paraId="3D87F479" w14:textId="4F74FA44" w:rsidR="001B6883" w:rsidRDefault="001B68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57AD27" w14:textId="2FC5A987" w:rsidR="478C6B16" w:rsidRDefault="478C6B16" w:rsidP="478C6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4AB17" w14:textId="77777777" w:rsidR="00631F3E" w:rsidRDefault="00631F3E" w:rsidP="006646DC">
      <w:pPr>
        <w:spacing w:after="0" w:line="240" w:lineRule="auto"/>
      </w:pPr>
      <w:r>
        <w:separator/>
      </w:r>
    </w:p>
  </w:footnote>
  <w:footnote w:type="continuationSeparator" w:id="0">
    <w:p w14:paraId="526BA502" w14:textId="77777777" w:rsidR="00631F3E" w:rsidRDefault="00631F3E" w:rsidP="006646DC">
      <w:pPr>
        <w:spacing w:after="0" w:line="240" w:lineRule="auto"/>
      </w:pPr>
      <w:r>
        <w:continuationSeparator/>
      </w:r>
    </w:p>
  </w:footnote>
  <w:footnote w:type="continuationNotice" w:id="1">
    <w:p w14:paraId="2BE5F2BB" w14:textId="77777777" w:rsidR="00631F3E" w:rsidRDefault="00631F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193C" w14:textId="61DB7FC9" w:rsidR="00387DE7" w:rsidRDefault="00B824FC" w:rsidP="00387DE7">
    <w:pPr>
      <w:pStyle w:val="Header"/>
      <w:ind w:left="7200"/>
    </w:pPr>
    <w:r w:rsidRPr="00B824FC">
      <w:rPr>
        <w:noProof/>
      </w:rPr>
      <w:drawing>
        <wp:anchor distT="0" distB="0" distL="114300" distR="114300" simplePos="0" relativeHeight="251659264" behindDoc="0" locked="0" layoutInCell="1" allowOverlap="1" wp14:anchorId="6504E3B3" wp14:editId="1C05B471">
          <wp:simplePos x="0" y="0"/>
          <wp:positionH relativeFrom="margin">
            <wp:posOffset>137795</wp:posOffset>
          </wp:positionH>
          <wp:positionV relativeFrom="paragraph">
            <wp:posOffset>-17780</wp:posOffset>
          </wp:positionV>
          <wp:extent cx="890905" cy="723900"/>
          <wp:effectExtent l="0" t="0" r="4445" b="0"/>
          <wp:wrapSquare wrapText="bothSides"/>
          <wp:docPr id="2034380785" name="Picture 1" descr="A logo of a leop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380785" name="Picture 1" descr="A logo of a leopard&#10;&#10;Description automatically generated"/>
                  <pic:cNvPicPr/>
                </pic:nvPicPr>
                <pic:blipFill rotWithShape="1">
                  <a:blip r:embed="rId1">
                    <a:extLst>
                      <a:ext uri="{28A0092B-C50C-407E-A947-70E740481C1C}">
                        <a14:useLocalDpi xmlns:a14="http://schemas.microsoft.com/office/drawing/2010/main" val="0"/>
                      </a:ext>
                    </a:extLst>
                  </a:blip>
                  <a:srcRect t="22854" b="11116"/>
                  <a:stretch/>
                </pic:blipFill>
                <pic:spPr bwMode="auto">
                  <a:xfrm>
                    <a:off x="0" y="0"/>
                    <a:ext cx="89090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40" behindDoc="0" locked="0" layoutInCell="1" allowOverlap="1" wp14:anchorId="43559424" wp14:editId="610CB47B">
          <wp:simplePos x="0" y="0"/>
          <wp:positionH relativeFrom="column">
            <wp:posOffset>4712766</wp:posOffset>
          </wp:positionH>
          <wp:positionV relativeFrom="paragraph">
            <wp:posOffset>-138358</wp:posOffset>
          </wp:positionV>
          <wp:extent cx="1449070" cy="934720"/>
          <wp:effectExtent l="0" t="0" r="0" b="0"/>
          <wp:wrapSquare wrapText="bothSides"/>
          <wp:docPr id="1976832502" name="Picture 197683250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9070" cy="934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5F72">
      <w:rPr>
        <w:noProof/>
      </w:rPr>
      <w:drawing>
        <wp:anchor distT="0" distB="0" distL="114300" distR="114300" simplePos="0" relativeHeight="251662336" behindDoc="0" locked="0" layoutInCell="1" allowOverlap="1" wp14:anchorId="243222AA" wp14:editId="719E5FD4">
          <wp:simplePos x="0" y="0"/>
          <wp:positionH relativeFrom="column">
            <wp:posOffset>3210105</wp:posOffset>
          </wp:positionH>
          <wp:positionV relativeFrom="paragraph">
            <wp:posOffset>54730</wp:posOffset>
          </wp:positionV>
          <wp:extent cx="1590675" cy="513715"/>
          <wp:effectExtent l="0" t="0" r="0" b="0"/>
          <wp:wrapNone/>
          <wp:docPr id="996638540" name="Picture 99663854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0675" cy="513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FD2D341" wp14:editId="7E21679B">
          <wp:simplePos x="0" y="0"/>
          <wp:positionH relativeFrom="column">
            <wp:posOffset>1348896</wp:posOffset>
          </wp:positionH>
          <wp:positionV relativeFrom="paragraph">
            <wp:posOffset>25376</wp:posOffset>
          </wp:positionV>
          <wp:extent cx="1762125" cy="528320"/>
          <wp:effectExtent l="0" t="0" r="9525" b="5080"/>
          <wp:wrapSquare wrapText="bothSides"/>
          <wp:docPr id="823437378"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437378" name="Picture 823437378" descr="A picture containing text, sign&#10;&#10;Description automatically generated"/>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2125" cy="5283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01E3F"/>
    <w:multiLevelType w:val="hybridMultilevel"/>
    <w:tmpl w:val="1C0EC4EA"/>
    <w:lvl w:ilvl="0" w:tplc="FFFFFFFF">
      <w:start w:val="1"/>
      <w:numFmt w:val="decimal"/>
      <w:lvlText w:val="%1."/>
      <w:lvlJc w:val="left"/>
      <w:pPr>
        <w:ind w:left="-630" w:hanging="360"/>
      </w:pPr>
      <w:rPr>
        <w:b/>
      </w:rPr>
    </w:lvl>
    <w:lvl w:ilvl="1" w:tplc="FFFFFFFF" w:tentative="1">
      <w:start w:val="1"/>
      <w:numFmt w:val="lowerLetter"/>
      <w:lvlText w:val="%2."/>
      <w:lvlJc w:val="left"/>
      <w:pPr>
        <w:ind w:left="90" w:hanging="360"/>
      </w:pPr>
    </w:lvl>
    <w:lvl w:ilvl="2" w:tplc="FFFFFFFF" w:tentative="1">
      <w:start w:val="1"/>
      <w:numFmt w:val="lowerRoman"/>
      <w:lvlText w:val="%3."/>
      <w:lvlJc w:val="right"/>
      <w:pPr>
        <w:ind w:left="810" w:hanging="180"/>
      </w:pPr>
    </w:lvl>
    <w:lvl w:ilvl="3" w:tplc="FFFFFFFF" w:tentative="1">
      <w:start w:val="1"/>
      <w:numFmt w:val="decimal"/>
      <w:lvlText w:val="%4."/>
      <w:lvlJc w:val="left"/>
      <w:pPr>
        <w:ind w:left="1530" w:hanging="360"/>
      </w:pPr>
    </w:lvl>
    <w:lvl w:ilvl="4" w:tplc="FFFFFFFF" w:tentative="1">
      <w:start w:val="1"/>
      <w:numFmt w:val="lowerLetter"/>
      <w:lvlText w:val="%5."/>
      <w:lvlJc w:val="left"/>
      <w:pPr>
        <w:ind w:left="2250" w:hanging="360"/>
      </w:pPr>
    </w:lvl>
    <w:lvl w:ilvl="5" w:tplc="FFFFFFFF" w:tentative="1">
      <w:start w:val="1"/>
      <w:numFmt w:val="lowerRoman"/>
      <w:lvlText w:val="%6."/>
      <w:lvlJc w:val="right"/>
      <w:pPr>
        <w:ind w:left="2970" w:hanging="180"/>
      </w:pPr>
    </w:lvl>
    <w:lvl w:ilvl="6" w:tplc="FFFFFFFF" w:tentative="1">
      <w:start w:val="1"/>
      <w:numFmt w:val="decimal"/>
      <w:lvlText w:val="%7."/>
      <w:lvlJc w:val="left"/>
      <w:pPr>
        <w:ind w:left="3690" w:hanging="360"/>
      </w:pPr>
    </w:lvl>
    <w:lvl w:ilvl="7" w:tplc="FFFFFFFF" w:tentative="1">
      <w:start w:val="1"/>
      <w:numFmt w:val="lowerLetter"/>
      <w:lvlText w:val="%8."/>
      <w:lvlJc w:val="left"/>
      <w:pPr>
        <w:ind w:left="4410" w:hanging="360"/>
      </w:pPr>
    </w:lvl>
    <w:lvl w:ilvl="8" w:tplc="FFFFFFFF" w:tentative="1">
      <w:start w:val="1"/>
      <w:numFmt w:val="lowerRoman"/>
      <w:lvlText w:val="%9."/>
      <w:lvlJc w:val="right"/>
      <w:pPr>
        <w:ind w:left="5130" w:hanging="180"/>
      </w:pPr>
    </w:lvl>
  </w:abstractNum>
  <w:abstractNum w:abstractNumId="1" w15:restartNumberingAfterBreak="0">
    <w:nsid w:val="43892550"/>
    <w:multiLevelType w:val="hybridMultilevel"/>
    <w:tmpl w:val="1C0EC4EA"/>
    <w:lvl w:ilvl="0" w:tplc="BEDC6E12">
      <w:start w:val="1"/>
      <w:numFmt w:val="decimal"/>
      <w:lvlText w:val="%1."/>
      <w:lvlJc w:val="left"/>
      <w:pPr>
        <w:ind w:left="-630" w:hanging="360"/>
      </w:pPr>
      <w:rPr>
        <w:rFonts w:hint="default"/>
        <w:b/>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2" w15:restartNumberingAfterBreak="0">
    <w:nsid w:val="449249C3"/>
    <w:multiLevelType w:val="hybridMultilevel"/>
    <w:tmpl w:val="32E28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8772F36"/>
    <w:multiLevelType w:val="hybridMultilevel"/>
    <w:tmpl w:val="91C4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72DD9"/>
    <w:multiLevelType w:val="hybridMultilevel"/>
    <w:tmpl w:val="0832E5BC"/>
    <w:lvl w:ilvl="0" w:tplc="0DB89CE2">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33096"/>
    <w:multiLevelType w:val="hybridMultilevel"/>
    <w:tmpl w:val="C9F2F62C"/>
    <w:lvl w:ilvl="0" w:tplc="9A7C1228">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7AA315FE"/>
    <w:multiLevelType w:val="hybridMultilevel"/>
    <w:tmpl w:val="E436A3BC"/>
    <w:lvl w:ilvl="0" w:tplc="0DB89CE2">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473073">
    <w:abstractNumId w:val="3"/>
  </w:num>
  <w:num w:numId="2" w16cid:durableId="1810321414">
    <w:abstractNumId w:val="4"/>
  </w:num>
  <w:num w:numId="3" w16cid:durableId="12872795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14218">
    <w:abstractNumId w:val="2"/>
  </w:num>
  <w:num w:numId="5" w16cid:durableId="445514045">
    <w:abstractNumId w:val="6"/>
  </w:num>
  <w:num w:numId="6" w16cid:durableId="450978302">
    <w:abstractNumId w:val="1"/>
  </w:num>
  <w:num w:numId="7" w16cid:durableId="693383564">
    <w:abstractNumId w:val="0"/>
  </w:num>
  <w:num w:numId="8" w16cid:durableId="129447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C30"/>
    <w:rsid w:val="000045E7"/>
    <w:rsid w:val="00005507"/>
    <w:rsid w:val="00014406"/>
    <w:rsid w:val="00015285"/>
    <w:rsid w:val="00021B48"/>
    <w:rsid w:val="00026516"/>
    <w:rsid w:val="00030DDE"/>
    <w:rsid w:val="000326B9"/>
    <w:rsid w:val="00033489"/>
    <w:rsid w:val="00034EA7"/>
    <w:rsid w:val="00046F0A"/>
    <w:rsid w:val="000557FD"/>
    <w:rsid w:val="00067D99"/>
    <w:rsid w:val="00073F65"/>
    <w:rsid w:val="000848DA"/>
    <w:rsid w:val="00085970"/>
    <w:rsid w:val="00085CCF"/>
    <w:rsid w:val="00091221"/>
    <w:rsid w:val="000A1E45"/>
    <w:rsid w:val="000A5927"/>
    <w:rsid w:val="000C0E2F"/>
    <w:rsid w:val="000D1AD6"/>
    <w:rsid w:val="000D3CA2"/>
    <w:rsid w:val="000D478B"/>
    <w:rsid w:val="000E2245"/>
    <w:rsid w:val="000E7EE9"/>
    <w:rsid w:val="00110EC6"/>
    <w:rsid w:val="001167FE"/>
    <w:rsid w:val="00122175"/>
    <w:rsid w:val="00123C08"/>
    <w:rsid w:val="00125428"/>
    <w:rsid w:val="001268B9"/>
    <w:rsid w:val="00146348"/>
    <w:rsid w:val="00155978"/>
    <w:rsid w:val="0016390E"/>
    <w:rsid w:val="00183AAC"/>
    <w:rsid w:val="00186719"/>
    <w:rsid w:val="00190505"/>
    <w:rsid w:val="00190760"/>
    <w:rsid w:val="001A4955"/>
    <w:rsid w:val="001B1B8F"/>
    <w:rsid w:val="001B6883"/>
    <w:rsid w:val="001C1F93"/>
    <w:rsid w:val="001E7CD1"/>
    <w:rsid w:val="00212A45"/>
    <w:rsid w:val="002250C3"/>
    <w:rsid w:val="002321E1"/>
    <w:rsid w:val="002365E9"/>
    <w:rsid w:val="00237404"/>
    <w:rsid w:val="0024089A"/>
    <w:rsid w:val="00241FA9"/>
    <w:rsid w:val="0024225E"/>
    <w:rsid w:val="00242C47"/>
    <w:rsid w:val="00246D95"/>
    <w:rsid w:val="002528D3"/>
    <w:rsid w:val="0025386F"/>
    <w:rsid w:val="00257B34"/>
    <w:rsid w:val="00257E13"/>
    <w:rsid w:val="0027232F"/>
    <w:rsid w:val="002724C4"/>
    <w:rsid w:val="00273EF0"/>
    <w:rsid w:val="00282BDF"/>
    <w:rsid w:val="00285A11"/>
    <w:rsid w:val="002A1404"/>
    <w:rsid w:val="002A623A"/>
    <w:rsid w:val="002B5303"/>
    <w:rsid w:val="002B5843"/>
    <w:rsid w:val="002B637B"/>
    <w:rsid w:val="002B6D0C"/>
    <w:rsid w:val="002B7D25"/>
    <w:rsid w:val="002C7939"/>
    <w:rsid w:val="002D023D"/>
    <w:rsid w:val="002D15B6"/>
    <w:rsid w:val="002D6D3A"/>
    <w:rsid w:val="002D6F5C"/>
    <w:rsid w:val="002E1375"/>
    <w:rsid w:val="002F7299"/>
    <w:rsid w:val="00303BEF"/>
    <w:rsid w:val="00305F7C"/>
    <w:rsid w:val="003074DB"/>
    <w:rsid w:val="00315457"/>
    <w:rsid w:val="00325CD3"/>
    <w:rsid w:val="00332AC5"/>
    <w:rsid w:val="0034634D"/>
    <w:rsid w:val="00347FD1"/>
    <w:rsid w:val="003521FB"/>
    <w:rsid w:val="00357BE7"/>
    <w:rsid w:val="00363C9C"/>
    <w:rsid w:val="00364F32"/>
    <w:rsid w:val="00372D1D"/>
    <w:rsid w:val="00380B68"/>
    <w:rsid w:val="00382C05"/>
    <w:rsid w:val="00384ED6"/>
    <w:rsid w:val="00387DE7"/>
    <w:rsid w:val="00393E9D"/>
    <w:rsid w:val="0039409E"/>
    <w:rsid w:val="003A2EAD"/>
    <w:rsid w:val="003B2048"/>
    <w:rsid w:val="003B2609"/>
    <w:rsid w:val="003E1B2C"/>
    <w:rsid w:val="003E3E68"/>
    <w:rsid w:val="003E4DFC"/>
    <w:rsid w:val="003E7CAB"/>
    <w:rsid w:val="003F0EFD"/>
    <w:rsid w:val="003F31ED"/>
    <w:rsid w:val="004004C8"/>
    <w:rsid w:val="00403847"/>
    <w:rsid w:val="00414733"/>
    <w:rsid w:val="00446FF8"/>
    <w:rsid w:val="0045457D"/>
    <w:rsid w:val="00461446"/>
    <w:rsid w:val="00462982"/>
    <w:rsid w:val="00467099"/>
    <w:rsid w:val="0046756A"/>
    <w:rsid w:val="00470F84"/>
    <w:rsid w:val="0047335A"/>
    <w:rsid w:val="00476B46"/>
    <w:rsid w:val="00480039"/>
    <w:rsid w:val="004813F7"/>
    <w:rsid w:val="00485CE1"/>
    <w:rsid w:val="0049791A"/>
    <w:rsid w:val="004A7D93"/>
    <w:rsid w:val="004C2CF4"/>
    <w:rsid w:val="004C610A"/>
    <w:rsid w:val="004D01E3"/>
    <w:rsid w:val="004D0850"/>
    <w:rsid w:val="004D4117"/>
    <w:rsid w:val="004D5FAE"/>
    <w:rsid w:val="004E266E"/>
    <w:rsid w:val="004E3EAC"/>
    <w:rsid w:val="00503B40"/>
    <w:rsid w:val="0051040E"/>
    <w:rsid w:val="00512C1D"/>
    <w:rsid w:val="00513A68"/>
    <w:rsid w:val="0051E0FC"/>
    <w:rsid w:val="0054620C"/>
    <w:rsid w:val="00546385"/>
    <w:rsid w:val="00547443"/>
    <w:rsid w:val="0055244B"/>
    <w:rsid w:val="00553C0E"/>
    <w:rsid w:val="0056334D"/>
    <w:rsid w:val="00563549"/>
    <w:rsid w:val="00565A64"/>
    <w:rsid w:val="0056601C"/>
    <w:rsid w:val="005674F0"/>
    <w:rsid w:val="0057145B"/>
    <w:rsid w:val="005828EB"/>
    <w:rsid w:val="005857C8"/>
    <w:rsid w:val="00587F4D"/>
    <w:rsid w:val="00593918"/>
    <w:rsid w:val="005A6A8E"/>
    <w:rsid w:val="005B485A"/>
    <w:rsid w:val="005C467F"/>
    <w:rsid w:val="005C740F"/>
    <w:rsid w:val="005D3A1E"/>
    <w:rsid w:val="005E6058"/>
    <w:rsid w:val="005F6E11"/>
    <w:rsid w:val="005F6FDB"/>
    <w:rsid w:val="005F7FEB"/>
    <w:rsid w:val="00610D0E"/>
    <w:rsid w:val="00620C55"/>
    <w:rsid w:val="00625025"/>
    <w:rsid w:val="0063135D"/>
    <w:rsid w:val="00631F3E"/>
    <w:rsid w:val="00635261"/>
    <w:rsid w:val="0063551D"/>
    <w:rsid w:val="00635B92"/>
    <w:rsid w:val="00635CD6"/>
    <w:rsid w:val="00653BF5"/>
    <w:rsid w:val="00654A65"/>
    <w:rsid w:val="00661146"/>
    <w:rsid w:val="00663B0B"/>
    <w:rsid w:val="006646DC"/>
    <w:rsid w:val="0068000C"/>
    <w:rsid w:val="00682028"/>
    <w:rsid w:val="0068438C"/>
    <w:rsid w:val="006956F5"/>
    <w:rsid w:val="006B0EBA"/>
    <w:rsid w:val="006B78EB"/>
    <w:rsid w:val="006C6C6B"/>
    <w:rsid w:val="006D440A"/>
    <w:rsid w:val="006D787D"/>
    <w:rsid w:val="006E0925"/>
    <w:rsid w:val="006E49D0"/>
    <w:rsid w:val="006F4A5A"/>
    <w:rsid w:val="006F516F"/>
    <w:rsid w:val="006F580C"/>
    <w:rsid w:val="006F61F7"/>
    <w:rsid w:val="006F7339"/>
    <w:rsid w:val="00704DB7"/>
    <w:rsid w:val="00711CA3"/>
    <w:rsid w:val="0072694C"/>
    <w:rsid w:val="007321C7"/>
    <w:rsid w:val="0074338F"/>
    <w:rsid w:val="0074466D"/>
    <w:rsid w:val="007505DA"/>
    <w:rsid w:val="00753BF3"/>
    <w:rsid w:val="00763DA4"/>
    <w:rsid w:val="007652DD"/>
    <w:rsid w:val="00774505"/>
    <w:rsid w:val="00774D42"/>
    <w:rsid w:val="007942A5"/>
    <w:rsid w:val="00794EFA"/>
    <w:rsid w:val="0079583A"/>
    <w:rsid w:val="007A0256"/>
    <w:rsid w:val="007A43CB"/>
    <w:rsid w:val="007A5032"/>
    <w:rsid w:val="007A628C"/>
    <w:rsid w:val="007B0944"/>
    <w:rsid w:val="007B55FB"/>
    <w:rsid w:val="007C5783"/>
    <w:rsid w:val="007D4CD0"/>
    <w:rsid w:val="007E3B44"/>
    <w:rsid w:val="007F6E0A"/>
    <w:rsid w:val="008059FD"/>
    <w:rsid w:val="00807784"/>
    <w:rsid w:val="00820C7F"/>
    <w:rsid w:val="008457E8"/>
    <w:rsid w:val="00850EA4"/>
    <w:rsid w:val="00851CBE"/>
    <w:rsid w:val="0085750D"/>
    <w:rsid w:val="008607A4"/>
    <w:rsid w:val="00875E02"/>
    <w:rsid w:val="00881B38"/>
    <w:rsid w:val="00890040"/>
    <w:rsid w:val="00895407"/>
    <w:rsid w:val="00895B9D"/>
    <w:rsid w:val="00896FD0"/>
    <w:rsid w:val="008A1E75"/>
    <w:rsid w:val="008A237A"/>
    <w:rsid w:val="008A48E7"/>
    <w:rsid w:val="008B2667"/>
    <w:rsid w:val="008B7944"/>
    <w:rsid w:val="008C0C2F"/>
    <w:rsid w:val="008C1424"/>
    <w:rsid w:val="008C6D5B"/>
    <w:rsid w:val="008E22BA"/>
    <w:rsid w:val="008E5316"/>
    <w:rsid w:val="008E77EF"/>
    <w:rsid w:val="008E7C49"/>
    <w:rsid w:val="009008D6"/>
    <w:rsid w:val="00904B0A"/>
    <w:rsid w:val="0090695F"/>
    <w:rsid w:val="00912630"/>
    <w:rsid w:val="00920233"/>
    <w:rsid w:val="00920AC4"/>
    <w:rsid w:val="0092638C"/>
    <w:rsid w:val="009449AA"/>
    <w:rsid w:val="00944F9F"/>
    <w:rsid w:val="009547C9"/>
    <w:rsid w:val="009628E4"/>
    <w:rsid w:val="0097311E"/>
    <w:rsid w:val="009746AA"/>
    <w:rsid w:val="0098672E"/>
    <w:rsid w:val="009A05B8"/>
    <w:rsid w:val="009A225A"/>
    <w:rsid w:val="009A512B"/>
    <w:rsid w:val="009A6718"/>
    <w:rsid w:val="009B1E88"/>
    <w:rsid w:val="009B39B0"/>
    <w:rsid w:val="009C4B03"/>
    <w:rsid w:val="009D589B"/>
    <w:rsid w:val="009D5C6C"/>
    <w:rsid w:val="009D5CEF"/>
    <w:rsid w:val="009D7B4F"/>
    <w:rsid w:val="009E49BF"/>
    <w:rsid w:val="009E724F"/>
    <w:rsid w:val="009F160C"/>
    <w:rsid w:val="009F5063"/>
    <w:rsid w:val="00A0084B"/>
    <w:rsid w:val="00A04319"/>
    <w:rsid w:val="00A044B4"/>
    <w:rsid w:val="00A10D96"/>
    <w:rsid w:val="00A13157"/>
    <w:rsid w:val="00A22649"/>
    <w:rsid w:val="00A33B54"/>
    <w:rsid w:val="00A54BD9"/>
    <w:rsid w:val="00A60EE6"/>
    <w:rsid w:val="00A74189"/>
    <w:rsid w:val="00A81A55"/>
    <w:rsid w:val="00A8765B"/>
    <w:rsid w:val="00A90C3E"/>
    <w:rsid w:val="00A90CD9"/>
    <w:rsid w:val="00A922F1"/>
    <w:rsid w:val="00AA0A7E"/>
    <w:rsid w:val="00AA393A"/>
    <w:rsid w:val="00AA62E1"/>
    <w:rsid w:val="00AB5215"/>
    <w:rsid w:val="00AB7727"/>
    <w:rsid w:val="00AD0C7E"/>
    <w:rsid w:val="00AE6AA6"/>
    <w:rsid w:val="00AE7ABB"/>
    <w:rsid w:val="00AF0245"/>
    <w:rsid w:val="00B004A8"/>
    <w:rsid w:val="00B101A8"/>
    <w:rsid w:val="00B204F6"/>
    <w:rsid w:val="00B27542"/>
    <w:rsid w:val="00B33D43"/>
    <w:rsid w:val="00B35B04"/>
    <w:rsid w:val="00B47606"/>
    <w:rsid w:val="00B5516B"/>
    <w:rsid w:val="00B622D9"/>
    <w:rsid w:val="00B62C4F"/>
    <w:rsid w:val="00B65895"/>
    <w:rsid w:val="00B67DCE"/>
    <w:rsid w:val="00B70956"/>
    <w:rsid w:val="00B72C30"/>
    <w:rsid w:val="00B824FC"/>
    <w:rsid w:val="00B918EC"/>
    <w:rsid w:val="00BA0E44"/>
    <w:rsid w:val="00BA23E4"/>
    <w:rsid w:val="00BA4EAB"/>
    <w:rsid w:val="00BB6298"/>
    <w:rsid w:val="00BC520E"/>
    <w:rsid w:val="00BC7E6D"/>
    <w:rsid w:val="00BD0257"/>
    <w:rsid w:val="00BE094F"/>
    <w:rsid w:val="00BE3790"/>
    <w:rsid w:val="00BF195E"/>
    <w:rsid w:val="00BF4709"/>
    <w:rsid w:val="00BF511D"/>
    <w:rsid w:val="00BF5647"/>
    <w:rsid w:val="00BF7E0E"/>
    <w:rsid w:val="00C045E9"/>
    <w:rsid w:val="00C04AB8"/>
    <w:rsid w:val="00C11CB8"/>
    <w:rsid w:val="00C136C9"/>
    <w:rsid w:val="00C13CF5"/>
    <w:rsid w:val="00C14E48"/>
    <w:rsid w:val="00C14F87"/>
    <w:rsid w:val="00C2627E"/>
    <w:rsid w:val="00C2674E"/>
    <w:rsid w:val="00C315BF"/>
    <w:rsid w:val="00C32F5A"/>
    <w:rsid w:val="00C37C33"/>
    <w:rsid w:val="00C44AF0"/>
    <w:rsid w:val="00C53382"/>
    <w:rsid w:val="00C5728C"/>
    <w:rsid w:val="00C65B3A"/>
    <w:rsid w:val="00C74C34"/>
    <w:rsid w:val="00C75447"/>
    <w:rsid w:val="00C76C18"/>
    <w:rsid w:val="00C801B8"/>
    <w:rsid w:val="00C87F69"/>
    <w:rsid w:val="00C967D8"/>
    <w:rsid w:val="00C97A67"/>
    <w:rsid w:val="00CA38B8"/>
    <w:rsid w:val="00CA3A41"/>
    <w:rsid w:val="00CA4D17"/>
    <w:rsid w:val="00CB01EE"/>
    <w:rsid w:val="00CB1EC7"/>
    <w:rsid w:val="00CB4449"/>
    <w:rsid w:val="00CB69C8"/>
    <w:rsid w:val="00CC4C4F"/>
    <w:rsid w:val="00CC6E50"/>
    <w:rsid w:val="00CF213B"/>
    <w:rsid w:val="00D01021"/>
    <w:rsid w:val="00D02051"/>
    <w:rsid w:val="00D22387"/>
    <w:rsid w:val="00D27A31"/>
    <w:rsid w:val="00D351E0"/>
    <w:rsid w:val="00D418A2"/>
    <w:rsid w:val="00D451E4"/>
    <w:rsid w:val="00D52967"/>
    <w:rsid w:val="00D62903"/>
    <w:rsid w:val="00D75E13"/>
    <w:rsid w:val="00D77121"/>
    <w:rsid w:val="00D827DB"/>
    <w:rsid w:val="00DA32F9"/>
    <w:rsid w:val="00DB512B"/>
    <w:rsid w:val="00DB6E15"/>
    <w:rsid w:val="00DB7521"/>
    <w:rsid w:val="00DC046C"/>
    <w:rsid w:val="00DC2CD7"/>
    <w:rsid w:val="00DD5CF2"/>
    <w:rsid w:val="00DE5830"/>
    <w:rsid w:val="00DF3942"/>
    <w:rsid w:val="00DF5208"/>
    <w:rsid w:val="00E02351"/>
    <w:rsid w:val="00E14CA7"/>
    <w:rsid w:val="00E163DE"/>
    <w:rsid w:val="00E2012C"/>
    <w:rsid w:val="00E37E5C"/>
    <w:rsid w:val="00E42182"/>
    <w:rsid w:val="00E43140"/>
    <w:rsid w:val="00E6693A"/>
    <w:rsid w:val="00E672D5"/>
    <w:rsid w:val="00E8389B"/>
    <w:rsid w:val="00EB3D3C"/>
    <w:rsid w:val="00EB5C2E"/>
    <w:rsid w:val="00EC3270"/>
    <w:rsid w:val="00ED7738"/>
    <w:rsid w:val="00EF0E21"/>
    <w:rsid w:val="00EF6366"/>
    <w:rsid w:val="00F033D5"/>
    <w:rsid w:val="00F10AF3"/>
    <w:rsid w:val="00F1169E"/>
    <w:rsid w:val="00F1636E"/>
    <w:rsid w:val="00F2081C"/>
    <w:rsid w:val="00F25DE6"/>
    <w:rsid w:val="00F42CB8"/>
    <w:rsid w:val="00F63983"/>
    <w:rsid w:val="00F65D5A"/>
    <w:rsid w:val="00F663B9"/>
    <w:rsid w:val="00F71E20"/>
    <w:rsid w:val="00F75B5B"/>
    <w:rsid w:val="00F75F61"/>
    <w:rsid w:val="00F82ACE"/>
    <w:rsid w:val="00F838CB"/>
    <w:rsid w:val="00F92AE0"/>
    <w:rsid w:val="00FB2069"/>
    <w:rsid w:val="00FB64C3"/>
    <w:rsid w:val="00FB7148"/>
    <w:rsid w:val="00FD175E"/>
    <w:rsid w:val="00FE36CF"/>
    <w:rsid w:val="0314782D"/>
    <w:rsid w:val="036DC492"/>
    <w:rsid w:val="037A5550"/>
    <w:rsid w:val="03BA1D23"/>
    <w:rsid w:val="04800593"/>
    <w:rsid w:val="04F343C5"/>
    <w:rsid w:val="051625B1"/>
    <w:rsid w:val="05235B47"/>
    <w:rsid w:val="05E349AD"/>
    <w:rsid w:val="068A6356"/>
    <w:rsid w:val="06EDBB5B"/>
    <w:rsid w:val="0741D83D"/>
    <w:rsid w:val="0898367B"/>
    <w:rsid w:val="08CC8BB0"/>
    <w:rsid w:val="090CEDD5"/>
    <w:rsid w:val="0930E71B"/>
    <w:rsid w:val="0951C81E"/>
    <w:rsid w:val="09DFC0F8"/>
    <w:rsid w:val="0B0D6FC2"/>
    <w:rsid w:val="0B3BA686"/>
    <w:rsid w:val="0B40FD26"/>
    <w:rsid w:val="0B59DA29"/>
    <w:rsid w:val="0BDD741B"/>
    <w:rsid w:val="0CA23216"/>
    <w:rsid w:val="0CB9E68D"/>
    <w:rsid w:val="0CDCCD87"/>
    <w:rsid w:val="0D2453F3"/>
    <w:rsid w:val="0D72F9F9"/>
    <w:rsid w:val="0DBC7300"/>
    <w:rsid w:val="0DDBCBE5"/>
    <w:rsid w:val="0E3896BA"/>
    <w:rsid w:val="0E8A32F8"/>
    <w:rsid w:val="0E95A096"/>
    <w:rsid w:val="0EE7A25E"/>
    <w:rsid w:val="0F35BF6A"/>
    <w:rsid w:val="1096751C"/>
    <w:rsid w:val="11B3CF8D"/>
    <w:rsid w:val="11CD4158"/>
    <w:rsid w:val="11D1A41F"/>
    <w:rsid w:val="13B35DF1"/>
    <w:rsid w:val="1479FC96"/>
    <w:rsid w:val="14F81A07"/>
    <w:rsid w:val="15C87607"/>
    <w:rsid w:val="17B49B8D"/>
    <w:rsid w:val="17DDBD55"/>
    <w:rsid w:val="18A79D0C"/>
    <w:rsid w:val="19033222"/>
    <w:rsid w:val="1A2D0CC2"/>
    <w:rsid w:val="1A8B37F6"/>
    <w:rsid w:val="1ABF523A"/>
    <w:rsid w:val="1ACCE1E2"/>
    <w:rsid w:val="1AEF97FD"/>
    <w:rsid w:val="1B1AC613"/>
    <w:rsid w:val="1C270857"/>
    <w:rsid w:val="1C84D0C0"/>
    <w:rsid w:val="1CE53026"/>
    <w:rsid w:val="1CFA7FB0"/>
    <w:rsid w:val="1D7B0E2F"/>
    <w:rsid w:val="1DAA853C"/>
    <w:rsid w:val="1E755AC3"/>
    <w:rsid w:val="1F16DE90"/>
    <w:rsid w:val="1FCD73D8"/>
    <w:rsid w:val="202A18D5"/>
    <w:rsid w:val="20720908"/>
    <w:rsid w:val="21493853"/>
    <w:rsid w:val="2149BDF5"/>
    <w:rsid w:val="21A28103"/>
    <w:rsid w:val="21B0AB6A"/>
    <w:rsid w:val="22CEA5AC"/>
    <w:rsid w:val="23B8DC21"/>
    <w:rsid w:val="2459D019"/>
    <w:rsid w:val="2491DA76"/>
    <w:rsid w:val="24ECC85F"/>
    <w:rsid w:val="2503861A"/>
    <w:rsid w:val="251785CC"/>
    <w:rsid w:val="2522F36A"/>
    <w:rsid w:val="25568749"/>
    <w:rsid w:val="255D3E32"/>
    <w:rsid w:val="25CBB855"/>
    <w:rsid w:val="260EC8D7"/>
    <w:rsid w:val="26F632B0"/>
    <w:rsid w:val="26FD5712"/>
    <w:rsid w:val="27C5CAE6"/>
    <w:rsid w:val="27EE4464"/>
    <w:rsid w:val="282EF1D0"/>
    <w:rsid w:val="2832AAA3"/>
    <w:rsid w:val="2871487E"/>
    <w:rsid w:val="29AFD034"/>
    <w:rsid w:val="29D23396"/>
    <w:rsid w:val="29E48AC8"/>
    <w:rsid w:val="2A2EE980"/>
    <w:rsid w:val="2A7444E5"/>
    <w:rsid w:val="2A77EE30"/>
    <w:rsid w:val="2A9771C6"/>
    <w:rsid w:val="2B20D32B"/>
    <w:rsid w:val="2B6D6E21"/>
    <w:rsid w:val="2BA28B2B"/>
    <w:rsid w:val="2D27E5DB"/>
    <w:rsid w:val="2D4383FC"/>
    <w:rsid w:val="2D821281"/>
    <w:rsid w:val="2E5D5492"/>
    <w:rsid w:val="2ECC3E52"/>
    <w:rsid w:val="2EE6B5AA"/>
    <w:rsid w:val="2F33DE9E"/>
    <w:rsid w:val="2F99EC7D"/>
    <w:rsid w:val="2F9F69FB"/>
    <w:rsid w:val="2FA48C54"/>
    <w:rsid w:val="2FE01F64"/>
    <w:rsid w:val="306F5B64"/>
    <w:rsid w:val="30CE9AB2"/>
    <w:rsid w:val="30DD3CAD"/>
    <w:rsid w:val="3160D61C"/>
    <w:rsid w:val="31D3F59E"/>
    <w:rsid w:val="31FE9DC0"/>
    <w:rsid w:val="322BEAB9"/>
    <w:rsid w:val="3299B22E"/>
    <w:rsid w:val="3317AF24"/>
    <w:rsid w:val="335C8754"/>
    <w:rsid w:val="33BB9934"/>
    <w:rsid w:val="3526B907"/>
    <w:rsid w:val="35A9FC66"/>
    <w:rsid w:val="360DA3F4"/>
    <w:rsid w:val="36B61CAD"/>
    <w:rsid w:val="370475E5"/>
    <w:rsid w:val="37927F7D"/>
    <w:rsid w:val="37B72F8A"/>
    <w:rsid w:val="388B4ABC"/>
    <w:rsid w:val="38CC7917"/>
    <w:rsid w:val="38D4DC5D"/>
    <w:rsid w:val="3989DEA3"/>
    <w:rsid w:val="3A0277AA"/>
    <w:rsid w:val="3A31E14F"/>
    <w:rsid w:val="3A7DBA2B"/>
    <w:rsid w:val="3AEFA59B"/>
    <w:rsid w:val="3B6DED1B"/>
    <w:rsid w:val="3BD4A1B3"/>
    <w:rsid w:val="3CF52CCD"/>
    <w:rsid w:val="3D20CEE0"/>
    <w:rsid w:val="3D7A5348"/>
    <w:rsid w:val="3DBBE8A8"/>
    <w:rsid w:val="3DCDA042"/>
    <w:rsid w:val="3E769F61"/>
    <w:rsid w:val="3EB74AA0"/>
    <w:rsid w:val="3EBCE4DE"/>
    <w:rsid w:val="3F846905"/>
    <w:rsid w:val="3F99A90B"/>
    <w:rsid w:val="40D0DDC4"/>
    <w:rsid w:val="413D5CC0"/>
    <w:rsid w:val="41FAF1C7"/>
    <w:rsid w:val="41FD42EF"/>
    <w:rsid w:val="421E0FC5"/>
    <w:rsid w:val="421EEF4F"/>
    <w:rsid w:val="42B12348"/>
    <w:rsid w:val="4419D815"/>
    <w:rsid w:val="451B0BFB"/>
    <w:rsid w:val="4535092B"/>
    <w:rsid w:val="455FC561"/>
    <w:rsid w:val="4596984C"/>
    <w:rsid w:val="46646F02"/>
    <w:rsid w:val="46C23609"/>
    <w:rsid w:val="46C7F6C3"/>
    <w:rsid w:val="4761E3DF"/>
    <w:rsid w:val="478C6B16"/>
    <w:rsid w:val="478FA228"/>
    <w:rsid w:val="47D4E213"/>
    <w:rsid w:val="48510AEE"/>
    <w:rsid w:val="486B9C89"/>
    <w:rsid w:val="48C7A7EC"/>
    <w:rsid w:val="492B7289"/>
    <w:rsid w:val="49858F88"/>
    <w:rsid w:val="49FC9DC8"/>
    <w:rsid w:val="4A073FD9"/>
    <w:rsid w:val="4A82673E"/>
    <w:rsid w:val="4ABD3D5E"/>
    <w:rsid w:val="4AEA0074"/>
    <w:rsid w:val="4B523C42"/>
    <w:rsid w:val="4B545997"/>
    <w:rsid w:val="4C374F3A"/>
    <w:rsid w:val="4C92E562"/>
    <w:rsid w:val="4DE2237A"/>
    <w:rsid w:val="4E385029"/>
    <w:rsid w:val="4E994ED0"/>
    <w:rsid w:val="4EC3F282"/>
    <w:rsid w:val="4F28AA6C"/>
    <w:rsid w:val="4FA3E098"/>
    <w:rsid w:val="4FB76CD5"/>
    <w:rsid w:val="506A7436"/>
    <w:rsid w:val="507E3EC3"/>
    <w:rsid w:val="50D92D34"/>
    <w:rsid w:val="517A555C"/>
    <w:rsid w:val="52188FFA"/>
    <w:rsid w:val="534AF54B"/>
    <w:rsid w:val="535E6BFE"/>
    <w:rsid w:val="54D1EFCD"/>
    <w:rsid w:val="5562216F"/>
    <w:rsid w:val="566A9900"/>
    <w:rsid w:val="56C2F5D5"/>
    <w:rsid w:val="56CC3427"/>
    <w:rsid w:val="56D9B5BA"/>
    <w:rsid w:val="56E60813"/>
    <w:rsid w:val="571B6FC2"/>
    <w:rsid w:val="577C4756"/>
    <w:rsid w:val="57C5EDEE"/>
    <w:rsid w:val="57DA6A96"/>
    <w:rsid w:val="586ABA37"/>
    <w:rsid w:val="5881D874"/>
    <w:rsid w:val="58A175EE"/>
    <w:rsid w:val="58FDEF9D"/>
    <w:rsid w:val="5A1C09AB"/>
    <w:rsid w:val="5B022FAA"/>
    <w:rsid w:val="5B1B2D93"/>
    <w:rsid w:val="5B2895D4"/>
    <w:rsid w:val="5BD4B15F"/>
    <w:rsid w:val="5BE030D5"/>
    <w:rsid w:val="5BEE0517"/>
    <w:rsid w:val="5C0E285F"/>
    <w:rsid w:val="5C18795E"/>
    <w:rsid w:val="5C1AC058"/>
    <w:rsid w:val="5C1D3840"/>
    <w:rsid w:val="5C4DCB77"/>
    <w:rsid w:val="5CD6B59E"/>
    <w:rsid w:val="5DC32A16"/>
    <w:rsid w:val="5E8B6483"/>
    <w:rsid w:val="5E8C9629"/>
    <w:rsid w:val="5EAC73BB"/>
    <w:rsid w:val="5EF70007"/>
    <w:rsid w:val="5FE23E34"/>
    <w:rsid w:val="6011D33F"/>
    <w:rsid w:val="60E197D7"/>
    <w:rsid w:val="63967B4F"/>
    <w:rsid w:val="63B4E503"/>
    <w:rsid w:val="645B5DB2"/>
    <w:rsid w:val="664901E0"/>
    <w:rsid w:val="670F9E55"/>
    <w:rsid w:val="688B3330"/>
    <w:rsid w:val="68EFE89E"/>
    <w:rsid w:val="69A12E2C"/>
    <w:rsid w:val="69E8E78D"/>
    <w:rsid w:val="6A1A5DD6"/>
    <w:rsid w:val="6A2609A6"/>
    <w:rsid w:val="6A5D3382"/>
    <w:rsid w:val="6AC94651"/>
    <w:rsid w:val="6B0214DC"/>
    <w:rsid w:val="6B362F20"/>
    <w:rsid w:val="6BB188A2"/>
    <w:rsid w:val="6C062B8B"/>
    <w:rsid w:val="6C561AB4"/>
    <w:rsid w:val="6DAB44A4"/>
    <w:rsid w:val="6E0B9434"/>
    <w:rsid w:val="6EBAA085"/>
    <w:rsid w:val="6F281890"/>
    <w:rsid w:val="6F758E9E"/>
    <w:rsid w:val="70A95C83"/>
    <w:rsid w:val="70ACC15E"/>
    <w:rsid w:val="70B89F85"/>
    <w:rsid w:val="70FA4D61"/>
    <w:rsid w:val="71CACD6F"/>
    <w:rsid w:val="71DE18E5"/>
    <w:rsid w:val="72A5CC32"/>
    <w:rsid w:val="7306BCE4"/>
    <w:rsid w:val="7317E0C3"/>
    <w:rsid w:val="7337462C"/>
    <w:rsid w:val="73E15DCB"/>
    <w:rsid w:val="74A28D45"/>
    <w:rsid w:val="754E556C"/>
    <w:rsid w:val="75C6199D"/>
    <w:rsid w:val="765119DC"/>
    <w:rsid w:val="7788D7A8"/>
    <w:rsid w:val="785156D3"/>
    <w:rsid w:val="78809257"/>
    <w:rsid w:val="78832CFC"/>
    <w:rsid w:val="788E1D28"/>
    <w:rsid w:val="7890D44E"/>
    <w:rsid w:val="78C60374"/>
    <w:rsid w:val="790504F1"/>
    <w:rsid w:val="790F6345"/>
    <w:rsid w:val="7A62095D"/>
    <w:rsid w:val="7A97B5BA"/>
    <w:rsid w:val="7ACD5AB9"/>
    <w:rsid w:val="7B7C9185"/>
    <w:rsid w:val="7D11DF60"/>
    <w:rsid w:val="7DC7CD5B"/>
    <w:rsid w:val="7E2854D0"/>
    <w:rsid w:val="7E320FE0"/>
    <w:rsid w:val="7E38EEFD"/>
    <w:rsid w:val="7E8B9259"/>
    <w:rsid w:val="7ED6569F"/>
    <w:rsid w:val="7EDB9000"/>
    <w:rsid w:val="7EF4E99F"/>
    <w:rsid w:val="7F532A26"/>
    <w:rsid w:val="7F7F33EB"/>
    <w:rsid w:val="7F8205F8"/>
    <w:rsid w:val="7FBE55B2"/>
    <w:rsid w:val="7FDCD7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66393"/>
  <w15:docId w15:val="{313DEF58-2DF8-47C3-B9A6-9C2AD060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C30"/>
  </w:style>
  <w:style w:type="paragraph" w:styleId="Heading1">
    <w:name w:val="heading 1"/>
    <w:basedOn w:val="Normal"/>
    <w:next w:val="Normal"/>
    <w:link w:val="Heading1Char"/>
    <w:uiPriority w:val="9"/>
    <w:qFormat/>
    <w:rsid w:val="00B72C3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B72C3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2C3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2C3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B72C3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B72C3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B72C3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B72C3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B72C3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C30"/>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B72C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2C30"/>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2C30"/>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B72C30"/>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B72C30"/>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B72C30"/>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B72C30"/>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B72C30"/>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B72C30"/>
    <w:pPr>
      <w:spacing w:line="240" w:lineRule="auto"/>
    </w:pPr>
    <w:rPr>
      <w:b/>
      <w:bCs/>
      <w:smallCaps/>
      <w:color w:val="44546A" w:themeColor="text2"/>
    </w:rPr>
  </w:style>
  <w:style w:type="paragraph" w:styleId="Title">
    <w:name w:val="Title"/>
    <w:basedOn w:val="Normal"/>
    <w:next w:val="Normal"/>
    <w:link w:val="TitleChar"/>
    <w:uiPriority w:val="10"/>
    <w:qFormat/>
    <w:rsid w:val="00B72C3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72C3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72C3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B72C30"/>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B72C30"/>
    <w:rPr>
      <w:b/>
      <w:bCs/>
    </w:rPr>
  </w:style>
  <w:style w:type="character" w:styleId="Emphasis">
    <w:name w:val="Emphasis"/>
    <w:basedOn w:val="DefaultParagraphFont"/>
    <w:uiPriority w:val="20"/>
    <w:qFormat/>
    <w:rsid w:val="00B72C30"/>
    <w:rPr>
      <w:i/>
      <w:iCs/>
    </w:rPr>
  </w:style>
  <w:style w:type="paragraph" w:styleId="NoSpacing">
    <w:name w:val="No Spacing"/>
    <w:uiPriority w:val="1"/>
    <w:qFormat/>
    <w:rsid w:val="00B72C30"/>
    <w:pPr>
      <w:spacing w:after="0" w:line="240" w:lineRule="auto"/>
    </w:pPr>
  </w:style>
  <w:style w:type="paragraph" w:styleId="Quote">
    <w:name w:val="Quote"/>
    <w:basedOn w:val="Normal"/>
    <w:next w:val="Normal"/>
    <w:link w:val="QuoteChar"/>
    <w:uiPriority w:val="29"/>
    <w:qFormat/>
    <w:rsid w:val="00B72C3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72C30"/>
    <w:rPr>
      <w:color w:val="44546A" w:themeColor="text2"/>
      <w:sz w:val="24"/>
      <w:szCs w:val="24"/>
    </w:rPr>
  </w:style>
  <w:style w:type="paragraph" w:styleId="IntenseQuote">
    <w:name w:val="Intense Quote"/>
    <w:basedOn w:val="Normal"/>
    <w:next w:val="Normal"/>
    <w:link w:val="IntenseQuoteChar"/>
    <w:uiPriority w:val="30"/>
    <w:qFormat/>
    <w:rsid w:val="00B72C3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72C3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72C30"/>
    <w:rPr>
      <w:i/>
      <w:iCs/>
      <w:color w:val="595959" w:themeColor="text1" w:themeTint="A6"/>
    </w:rPr>
  </w:style>
  <w:style w:type="character" w:styleId="IntenseEmphasis">
    <w:name w:val="Intense Emphasis"/>
    <w:basedOn w:val="DefaultParagraphFont"/>
    <w:uiPriority w:val="21"/>
    <w:qFormat/>
    <w:rsid w:val="00B72C30"/>
    <w:rPr>
      <w:b/>
      <w:bCs/>
      <w:i/>
      <w:iCs/>
    </w:rPr>
  </w:style>
  <w:style w:type="character" w:styleId="SubtleReference">
    <w:name w:val="Subtle Reference"/>
    <w:basedOn w:val="DefaultParagraphFont"/>
    <w:uiPriority w:val="31"/>
    <w:qFormat/>
    <w:rsid w:val="00B72C3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72C30"/>
    <w:rPr>
      <w:b/>
      <w:bCs/>
      <w:smallCaps/>
      <w:color w:val="44546A" w:themeColor="text2"/>
      <w:u w:val="single"/>
    </w:rPr>
  </w:style>
  <w:style w:type="character" w:styleId="BookTitle">
    <w:name w:val="Book Title"/>
    <w:basedOn w:val="DefaultParagraphFont"/>
    <w:uiPriority w:val="33"/>
    <w:qFormat/>
    <w:rsid w:val="00B72C30"/>
    <w:rPr>
      <w:b/>
      <w:bCs/>
      <w:smallCaps/>
      <w:spacing w:val="10"/>
    </w:rPr>
  </w:style>
  <w:style w:type="paragraph" w:styleId="TOCHeading">
    <w:name w:val="TOC Heading"/>
    <w:basedOn w:val="Heading1"/>
    <w:next w:val="Normal"/>
    <w:uiPriority w:val="39"/>
    <w:semiHidden/>
    <w:unhideWhenUsed/>
    <w:qFormat/>
    <w:rsid w:val="00B72C30"/>
    <w:pPr>
      <w:outlineLvl w:val="9"/>
    </w:pPr>
  </w:style>
  <w:style w:type="table" w:styleId="TableGrid">
    <w:name w:val="Table Grid"/>
    <w:basedOn w:val="TableNormal"/>
    <w:uiPriority w:val="59"/>
    <w:rsid w:val="00653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67D8"/>
    <w:rPr>
      <w:color w:val="0563C1" w:themeColor="hyperlink"/>
      <w:u w:val="single"/>
    </w:rPr>
  </w:style>
  <w:style w:type="character" w:customStyle="1" w:styleId="Mentionnonrsolue1">
    <w:name w:val="Mention non résolue1"/>
    <w:basedOn w:val="DefaultParagraphFont"/>
    <w:uiPriority w:val="99"/>
    <w:semiHidden/>
    <w:unhideWhenUsed/>
    <w:rsid w:val="00C967D8"/>
    <w:rPr>
      <w:color w:val="605E5C"/>
      <w:shd w:val="clear" w:color="auto" w:fill="E1DFDD"/>
    </w:rPr>
  </w:style>
  <w:style w:type="character" w:styleId="FootnoteReference">
    <w:name w:val="footnote reference"/>
    <w:basedOn w:val="DefaultParagraphFont"/>
    <w:uiPriority w:val="99"/>
    <w:semiHidden/>
    <w:rsid w:val="006646DC"/>
    <w:rPr>
      <w:rFonts w:cs="Times New Roman"/>
      <w:vertAlign w:val="superscript"/>
    </w:rPr>
  </w:style>
  <w:style w:type="paragraph" w:styleId="FootnoteText">
    <w:name w:val="footnote text"/>
    <w:basedOn w:val="Normal"/>
    <w:link w:val="FootnoteTextChar"/>
    <w:uiPriority w:val="99"/>
    <w:semiHidden/>
    <w:unhideWhenUsed/>
    <w:rsid w:val="006646D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646DC"/>
    <w:rPr>
      <w:rFonts w:ascii="Times New Roman" w:eastAsia="Times New Roman" w:hAnsi="Times New Roman" w:cs="Times New Roman"/>
      <w:sz w:val="20"/>
      <w:szCs w:val="20"/>
    </w:rPr>
  </w:style>
  <w:style w:type="paragraph" w:styleId="ListParagraph">
    <w:name w:val="List Paragraph"/>
    <w:basedOn w:val="Normal"/>
    <w:uiPriority w:val="34"/>
    <w:qFormat/>
    <w:rsid w:val="0047335A"/>
    <w:pPr>
      <w:ind w:left="720"/>
      <w:contextualSpacing/>
    </w:pPr>
  </w:style>
  <w:style w:type="character" w:styleId="FollowedHyperlink">
    <w:name w:val="FollowedHyperlink"/>
    <w:basedOn w:val="DefaultParagraphFont"/>
    <w:uiPriority w:val="99"/>
    <w:semiHidden/>
    <w:unhideWhenUsed/>
    <w:rsid w:val="00512C1D"/>
    <w:rPr>
      <w:color w:val="954F72" w:themeColor="followedHyperlink"/>
      <w:u w:val="single"/>
    </w:rPr>
  </w:style>
  <w:style w:type="character" w:styleId="CommentReference">
    <w:name w:val="annotation reference"/>
    <w:basedOn w:val="DefaultParagraphFont"/>
    <w:uiPriority w:val="99"/>
    <w:semiHidden/>
    <w:unhideWhenUsed/>
    <w:rsid w:val="00046F0A"/>
    <w:rPr>
      <w:sz w:val="16"/>
      <w:szCs w:val="16"/>
    </w:rPr>
  </w:style>
  <w:style w:type="paragraph" w:styleId="CommentText">
    <w:name w:val="annotation text"/>
    <w:basedOn w:val="Normal"/>
    <w:link w:val="CommentTextChar"/>
    <w:uiPriority w:val="99"/>
    <w:unhideWhenUsed/>
    <w:rsid w:val="00046F0A"/>
    <w:pPr>
      <w:spacing w:line="240" w:lineRule="auto"/>
    </w:pPr>
    <w:rPr>
      <w:sz w:val="20"/>
      <w:szCs w:val="20"/>
    </w:rPr>
  </w:style>
  <w:style w:type="character" w:customStyle="1" w:styleId="CommentTextChar">
    <w:name w:val="Comment Text Char"/>
    <w:basedOn w:val="DefaultParagraphFont"/>
    <w:link w:val="CommentText"/>
    <w:uiPriority w:val="99"/>
    <w:rsid w:val="00046F0A"/>
    <w:rPr>
      <w:sz w:val="20"/>
      <w:szCs w:val="20"/>
    </w:rPr>
  </w:style>
  <w:style w:type="paragraph" w:styleId="CommentSubject">
    <w:name w:val="annotation subject"/>
    <w:basedOn w:val="CommentText"/>
    <w:next w:val="CommentText"/>
    <w:link w:val="CommentSubjectChar"/>
    <w:uiPriority w:val="99"/>
    <w:semiHidden/>
    <w:unhideWhenUsed/>
    <w:rsid w:val="00046F0A"/>
    <w:rPr>
      <w:b/>
      <w:bCs/>
    </w:rPr>
  </w:style>
  <w:style w:type="character" w:customStyle="1" w:styleId="CommentSubjectChar">
    <w:name w:val="Comment Subject Char"/>
    <w:basedOn w:val="CommentTextChar"/>
    <w:link w:val="CommentSubject"/>
    <w:uiPriority w:val="99"/>
    <w:semiHidden/>
    <w:rsid w:val="00046F0A"/>
    <w:rPr>
      <w:b/>
      <w:bCs/>
      <w:sz w:val="20"/>
      <w:szCs w:val="20"/>
    </w:rPr>
  </w:style>
  <w:style w:type="paragraph" w:styleId="Header">
    <w:name w:val="header"/>
    <w:basedOn w:val="Normal"/>
    <w:link w:val="HeaderChar"/>
    <w:uiPriority w:val="99"/>
    <w:unhideWhenUsed/>
    <w:rsid w:val="00C37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C33"/>
  </w:style>
  <w:style w:type="paragraph" w:styleId="Footer">
    <w:name w:val="footer"/>
    <w:basedOn w:val="Normal"/>
    <w:link w:val="FooterChar"/>
    <w:uiPriority w:val="99"/>
    <w:unhideWhenUsed/>
    <w:rsid w:val="00C37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C33"/>
  </w:style>
  <w:style w:type="paragraph" w:styleId="Revision">
    <w:name w:val="Revision"/>
    <w:hidden/>
    <w:uiPriority w:val="99"/>
    <w:semiHidden/>
    <w:rsid w:val="00BF5647"/>
    <w:pPr>
      <w:spacing w:after="0" w:line="240" w:lineRule="auto"/>
    </w:pPr>
  </w:style>
  <w:style w:type="character" w:customStyle="1" w:styleId="cf01">
    <w:name w:val="cf01"/>
    <w:basedOn w:val="DefaultParagraphFont"/>
    <w:rsid w:val="006E49D0"/>
    <w:rPr>
      <w:rFonts w:ascii="Segoe UI" w:hAnsi="Segoe UI" w:cs="Segoe UI" w:hint="default"/>
      <w:sz w:val="18"/>
      <w:szCs w:val="18"/>
    </w:rPr>
  </w:style>
  <w:style w:type="table" w:customStyle="1" w:styleId="TableGrid0">
    <w:name w:val="TableGrid"/>
    <w:rsid w:val="00EB5C2E"/>
    <w:pPr>
      <w:spacing w:after="0" w:line="240" w:lineRule="auto"/>
    </w:pPr>
    <w:rPr>
      <w:kern w:val="2"/>
      <w14:ligatures w14:val="standardContextual"/>
    </w:rPr>
    <w:tblPr>
      <w:tblCellMar>
        <w:top w:w="0" w:type="dxa"/>
        <w:left w:w="0" w:type="dxa"/>
        <w:bottom w:w="0" w:type="dxa"/>
        <w:right w:w="0" w:type="dxa"/>
      </w:tblCellMar>
    </w:tblPr>
  </w:style>
  <w:style w:type="character" w:customStyle="1" w:styleId="Mention1">
    <w:name w:val="Mention1"/>
    <w:basedOn w:val="DefaultParagraphFont"/>
    <w:uiPriority w:val="99"/>
    <w:unhideWhenUsed/>
    <w:rPr>
      <w:color w:val="2B579A"/>
      <w:shd w:val="clear" w:color="auto" w:fill="E6E6E6"/>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63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39385">
      <w:bodyDiv w:val="1"/>
      <w:marLeft w:val="0"/>
      <w:marRight w:val="0"/>
      <w:marTop w:val="0"/>
      <w:marBottom w:val="0"/>
      <w:divBdr>
        <w:top w:val="none" w:sz="0" w:space="0" w:color="auto"/>
        <w:left w:val="none" w:sz="0" w:space="0" w:color="auto"/>
        <w:bottom w:val="none" w:sz="0" w:space="0" w:color="auto"/>
        <w:right w:val="none" w:sz="0" w:space="0" w:color="auto"/>
      </w:divBdr>
    </w:div>
    <w:div w:id="564880247">
      <w:bodyDiv w:val="1"/>
      <w:marLeft w:val="0"/>
      <w:marRight w:val="0"/>
      <w:marTop w:val="0"/>
      <w:marBottom w:val="0"/>
      <w:divBdr>
        <w:top w:val="none" w:sz="0" w:space="0" w:color="auto"/>
        <w:left w:val="none" w:sz="0" w:space="0" w:color="auto"/>
        <w:bottom w:val="none" w:sz="0" w:space="0" w:color="auto"/>
        <w:right w:val="none" w:sz="0" w:space="0" w:color="auto"/>
      </w:divBdr>
    </w:div>
    <w:div w:id="657459773">
      <w:bodyDiv w:val="1"/>
      <w:marLeft w:val="0"/>
      <w:marRight w:val="0"/>
      <w:marTop w:val="0"/>
      <w:marBottom w:val="0"/>
      <w:divBdr>
        <w:top w:val="none" w:sz="0" w:space="0" w:color="auto"/>
        <w:left w:val="none" w:sz="0" w:space="0" w:color="auto"/>
        <w:bottom w:val="none" w:sz="0" w:space="0" w:color="auto"/>
        <w:right w:val="none" w:sz="0" w:space="0" w:color="auto"/>
      </w:divBdr>
      <w:divsChild>
        <w:div w:id="1607276419">
          <w:marLeft w:val="0"/>
          <w:marRight w:val="0"/>
          <w:marTop w:val="0"/>
          <w:marBottom w:val="0"/>
          <w:divBdr>
            <w:top w:val="none" w:sz="0" w:space="0" w:color="auto"/>
            <w:left w:val="none" w:sz="0" w:space="0" w:color="auto"/>
            <w:bottom w:val="none" w:sz="0" w:space="0" w:color="auto"/>
            <w:right w:val="none" w:sz="0" w:space="0" w:color="auto"/>
          </w:divBdr>
        </w:div>
      </w:divsChild>
    </w:div>
    <w:div w:id="839196259">
      <w:bodyDiv w:val="1"/>
      <w:marLeft w:val="0"/>
      <w:marRight w:val="0"/>
      <w:marTop w:val="0"/>
      <w:marBottom w:val="0"/>
      <w:divBdr>
        <w:top w:val="none" w:sz="0" w:space="0" w:color="auto"/>
        <w:left w:val="none" w:sz="0" w:space="0" w:color="auto"/>
        <w:bottom w:val="none" w:sz="0" w:space="0" w:color="auto"/>
        <w:right w:val="none" w:sz="0" w:space="0" w:color="auto"/>
      </w:divBdr>
    </w:div>
    <w:div w:id="894968527">
      <w:bodyDiv w:val="1"/>
      <w:marLeft w:val="0"/>
      <w:marRight w:val="0"/>
      <w:marTop w:val="0"/>
      <w:marBottom w:val="0"/>
      <w:divBdr>
        <w:top w:val="none" w:sz="0" w:space="0" w:color="auto"/>
        <w:left w:val="none" w:sz="0" w:space="0" w:color="auto"/>
        <w:bottom w:val="none" w:sz="0" w:space="0" w:color="auto"/>
        <w:right w:val="none" w:sz="0" w:space="0" w:color="auto"/>
      </w:divBdr>
    </w:div>
    <w:div w:id="1113939179">
      <w:bodyDiv w:val="1"/>
      <w:marLeft w:val="0"/>
      <w:marRight w:val="0"/>
      <w:marTop w:val="0"/>
      <w:marBottom w:val="0"/>
      <w:divBdr>
        <w:top w:val="none" w:sz="0" w:space="0" w:color="auto"/>
        <w:left w:val="none" w:sz="0" w:space="0" w:color="auto"/>
        <w:bottom w:val="none" w:sz="0" w:space="0" w:color="auto"/>
        <w:right w:val="none" w:sz="0" w:space="0" w:color="auto"/>
      </w:divBdr>
    </w:div>
    <w:div w:id="1355615212">
      <w:bodyDiv w:val="1"/>
      <w:marLeft w:val="0"/>
      <w:marRight w:val="0"/>
      <w:marTop w:val="0"/>
      <w:marBottom w:val="0"/>
      <w:divBdr>
        <w:top w:val="none" w:sz="0" w:space="0" w:color="auto"/>
        <w:left w:val="none" w:sz="0" w:space="0" w:color="auto"/>
        <w:bottom w:val="none" w:sz="0" w:space="0" w:color="auto"/>
        <w:right w:val="none" w:sz="0" w:space="0" w:color="auto"/>
      </w:divBdr>
    </w:div>
    <w:div w:id="1363439103">
      <w:bodyDiv w:val="1"/>
      <w:marLeft w:val="0"/>
      <w:marRight w:val="0"/>
      <w:marTop w:val="0"/>
      <w:marBottom w:val="0"/>
      <w:divBdr>
        <w:top w:val="none" w:sz="0" w:space="0" w:color="auto"/>
        <w:left w:val="none" w:sz="0" w:space="0" w:color="auto"/>
        <w:bottom w:val="none" w:sz="0" w:space="0" w:color="auto"/>
        <w:right w:val="none" w:sz="0" w:space="0" w:color="auto"/>
      </w:divBdr>
    </w:div>
    <w:div w:id="1433429663">
      <w:bodyDiv w:val="1"/>
      <w:marLeft w:val="0"/>
      <w:marRight w:val="0"/>
      <w:marTop w:val="0"/>
      <w:marBottom w:val="0"/>
      <w:divBdr>
        <w:top w:val="none" w:sz="0" w:space="0" w:color="auto"/>
        <w:left w:val="none" w:sz="0" w:space="0" w:color="auto"/>
        <w:bottom w:val="none" w:sz="0" w:space="0" w:color="auto"/>
        <w:right w:val="none" w:sz="0" w:space="0" w:color="auto"/>
      </w:divBdr>
      <w:divsChild>
        <w:div w:id="17279466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rcprocurement@clintonhealthaccess.org" TargetMode="External"/><Relationship Id="rId13" Type="http://schemas.openxmlformats.org/officeDocument/2006/relationships/hyperlink" Target="mailto:gemprocurement@clintonhealthaccess.org" TargetMode="External"/><Relationship Id="rId18" Type="http://schemas.openxmlformats.org/officeDocument/2006/relationships/hyperlink" Target="https://clintonhealth.box.com/s/q4c9d1zmxvxegd93a5ik3ufqo8r49rm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lintonhealth.box.com/s/w4aev9ayvkwkklonlkrz45oab80s2ero" TargetMode="External"/><Relationship Id="rId7" Type="http://schemas.openxmlformats.org/officeDocument/2006/relationships/endnotes" Target="endnotes.xml"/><Relationship Id="rId12" Type="http://schemas.openxmlformats.org/officeDocument/2006/relationships/hyperlink" Target="mailto:drcprocurement@clintonhealthaccess.org" TargetMode="External"/><Relationship Id="rId17" Type="http://schemas.openxmlformats.org/officeDocument/2006/relationships/hyperlink" Target="mailto:drcprocurement@clintonhealthaccess.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emprocurement@clintonhealthaccess.org" TargetMode="External"/><Relationship Id="rId20" Type="http://schemas.openxmlformats.org/officeDocument/2006/relationships/hyperlink" Target="mailto:drcprocurement@clintonhealthacc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cprocurement@clintonhealthaccess.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lintonhealth.box.com/s/4ytwj14rtn18dp2txwwvkj0zckksm16v" TargetMode="External"/><Relationship Id="rId23" Type="http://schemas.openxmlformats.org/officeDocument/2006/relationships/header" Target="header1.xml"/><Relationship Id="rId10" Type="http://schemas.openxmlformats.org/officeDocument/2006/relationships/hyperlink" Target="mailto:drcprocurement@clintonhealthaccess.org" TargetMode="External"/><Relationship Id="rId19" Type="http://schemas.openxmlformats.org/officeDocument/2006/relationships/hyperlink" Target="https://clintonhealth.box.com/s/ec9b93bjl1xdxnzdst8px6zl3qhypur4" TargetMode="External"/><Relationship Id="rId4" Type="http://schemas.openxmlformats.org/officeDocument/2006/relationships/settings" Target="settings.xml"/><Relationship Id="rId9" Type="http://schemas.openxmlformats.org/officeDocument/2006/relationships/hyperlink" Target="mailto:drcprocurement@clintonhealthaccess.org" TargetMode="External"/><Relationship Id="rId14" Type="http://schemas.openxmlformats.org/officeDocument/2006/relationships/hyperlink" Target="mailto:drcprocurement@clintonhealthaccess.org" TargetMode="External"/><Relationship Id="rId22"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7B86D-C4B2-4D4C-9B26-2A7E6E9E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1682</Words>
  <Characters>9403</Characters>
  <Application>Microsoft Office Word</Application>
  <DocSecurity>0</DocSecurity>
  <Lines>241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Habibat Sheidu</dc:creator>
  <cp:keywords/>
  <dc:description/>
  <cp:lastModifiedBy>Harvey Mogojwe</cp:lastModifiedBy>
  <cp:revision>2</cp:revision>
  <dcterms:created xsi:type="dcterms:W3CDTF">2024-08-06T10:59:00Z</dcterms:created>
  <dcterms:modified xsi:type="dcterms:W3CDTF">2024-08-06T10:59:00Z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25615fcf9b84e0ae532e12c2e61227229fc8d91d9c8d02f428f3199998f63a8e</vt:lpwstr>
  </property>
</Properties>
</file>