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7960D" w14:textId="77777777" w:rsidR="00AE07D3" w:rsidRPr="00585F33" w:rsidRDefault="00AE07D3">
      <w:pPr>
        <w:rPr>
          <w:rFonts w:cstheme="minorHAnsi"/>
          <w:lang w:val="fr-FR"/>
        </w:rPr>
      </w:pPr>
    </w:p>
    <w:p w14:paraId="3A869948" w14:textId="7A40192E" w:rsidR="009637CB" w:rsidRPr="00585F33" w:rsidRDefault="009637CB" w:rsidP="009637CB">
      <w:pPr>
        <w:jc w:val="center"/>
        <w:rPr>
          <w:rFonts w:cstheme="minorHAnsi"/>
          <w:b/>
          <w:bCs/>
          <w:lang w:val="fr-CA"/>
        </w:rPr>
      </w:pPr>
      <w:r w:rsidRPr="00585F33">
        <w:rPr>
          <w:rFonts w:cstheme="minorHAnsi"/>
          <w:b/>
          <w:bCs/>
          <w:lang w:val="fr-CA"/>
        </w:rPr>
        <w:t>Appel d'offres pour la fourniture d'oxygène liquide médical (mLOX), l'exploitation d'un système de remplissage de liquide en gaz, et le renforcement des capacités en République Démocratique du Congo</w:t>
      </w:r>
    </w:p>
    <w:p w14:paraId="2B5547EF" w14:textId="4030B2E0" w:rsidR="009637CB" w:rsidRPr="00585F33" w:rsidRDefault="009637CB" w:rsidP="009637CB">
      <w:pPr>
        <w:jc w:val="center"/>
        <w:rPr>
          <w:rFonts w:cstheme="minorHAnsi"/>
          <w:b/>
          <w:bCs/>
          <w:lang w:val="fr-FR"/>
        </w:rPr>
      </w:pPr>
    </w:p>
    <w:tbl>
      <w:tblPr>
        <w:tblStyle w:val="TableGrid"/>
        <w:tblW w:w="6660" w:type="dxa"/>
        <w:jc w:val="center"/>
        <w:tblLook w:val="04A0" w:firstRow="1" w:lastRow="0" w:firstColumn="1" w:lastColumn="0" w:noHBand="0" w:noVBand="1"/>
      </w:tblPr>
      <w:tblGrid>
        <w:gridCol w:w="3060"/>
        <w:gridCol w:w="3600"/>
      </w:tblGrid>
      <w:tr w:rsidR="009637CB" w:rsidRPr="00585F33" w14:paraId="42E9556B" w14:textId="77777777" w:rsidTr="00131656">
        <w:trPr>
          <w:jc w:val="center"/>
        </w:trPr>
        <w:tc>
          <w:tcPr>
            <w:tcW w:w="3060" w:type="dxa"/>
          </w:tcPr>
          <w:p w14:paraId="01B5785D" w14:textId="5A38BA32" w:rsidR="009637CB" w:rsidRPr="00585F33" w:rsidRDefault="009637CB" w:rsidP="00131656">
            <w:pPr>
              <w:spacing w:line="276" w:lineRule="auto"/>
              <w:jc w:val="center"/>
              <w:rPr>
                <w:rFonts w:cstheme="minorHAnsi"/>
              </w:rPr>
            </w:pPr>
            <w:r w:rsidRPr="00585F33">
              <w:rPr>
                <w:rFonts w:cstheme="minorHAnsi"/>
              </w:rPr>
              <w:t>Référence</w:t>
            </w:r>
          </w:p>
        </w:tc>
        <w:tc>
          <w:tcPr>
            <w:tcW w:w="3600" w:type="dxa"/>
          </w:tcPr>
          <w:p w14:paraId="29D747C7" w14:textId="77777777" w:rsidR="009637CB" w:rsidRPr="00585F33" w:rsidRDefault="009637CB" w:rsidP="00131656">
            <w:pPr>
              <w:rPr>
                <w:rFonts w:cstheme="minorHAnsi"/>
                <w:b/>
                <w:bCs/>
              </w:rPr>
            </w:pPr>
            <w:r w:rsidRPr="00585F33">
              <w:rPr>
                <w:rFonts w:cstheme="minorHAnsi"/>
                <w:b/>
                <w:bCs/>
              </w:rPr>
              <w:t>ITB/CHAI/LOxF/DRC/0124</w:t>
            </w:r>
          </w:p>
        </w:tc>
      </w:tr>
      <w:tr w:rsidR="009637CB" w:rsidRPr="00585F33" w14:paraId="45212074" w14:textId="77777777" w:rsidTr="00131656">
        <w:trPr>
          <w:jc w:val="center"/>
        </w:trPr>
        <w:tc>
          <w:tcPr>
            <w:tcW w:w="3060" w:type="dxa"/>
          </w:tcPr>
          <w:p w14:paraId="0C7EB63A" w14:textId="08EF0FB8" w:rsidR="009637CB" w:rsidRPr="00585F33" w:rsidRDefault="009637CB" w:rsidP="00131656">
            <w:pPr>
              <w:spacing w:line="276" w:lineRule="auto"/>
              <w:jc w:val="center"/>
              <w:rPr>
                <w:rFonts w:cstheme="minorHAnsi"/>
              </w:rPr>
            </w:pPr>
            <w:r w:rsidRPr="00585F33">
              <w:rPr>
                <w:rFonts w:cstheme="minorHAnsi"/>
              </w:rPr>
              <w:t>Date de publication</w:t>
            </w:r>
          </w:p>
        </w:tc>
        <w:tc>
          <w:tcPr>
            <w:tcW w:w="3600" w:type="dxa"/>
          </w:tcPr>
          <w:p w14:paraId="74218611" w14:textId="2DCA6C97" w:rsidR="009637CB" w:rsidRPr="00585F33" w:rsidRDefault="009637CB" w:rsidP="00131656">
            <w:pPr>
              <w:rPr>
                <w:rFonts w:cstheme="minorHAnsi"/>
              </w:rPr>
            </w:pPr>
            <w:r w:rsidRPr="00585F33">
              <w:rPr>
                <w:rFonts w:cstheme="minorHAnsi"/>
              </w:rPr>
              <w:t>5</w:t>
            </w:r>
            <w:r w:rsidRPr="00585F33">
              <w:rPr>
                <w:rFonts w:cstheme="minorHAnsi"/>
                <w:vertAlign w:val="superscript"/>
              </w:rPr>
              <w:t>th</w:t>
            </w:r>
            <w:r w:rsidRPr="00585F33">
              <w:rPr>
                <w:rFonts w:cstheme="minorHAnsi"/>
              </w:rPr>
              <w:t xml:space="preserve"> Août 2024 </w:t>
            </w:r>
          </w:p>
        </w:tc>
      </w:tr>
      <w:tr w:rsidR="009637CB" w:rsidRPr="00585F33" w14:paraId="48842B3A" w14:textId="77777777" w:rsidTr="00131656">
        <w:trPr>
          <w:trHeight w:val="323"/>
          <w:jc w:val="center"/>
        </w:trPr>
        <w:tc>
          <w:tcPr>
            <w:tcW w:w="3060" w:type="dxa"/>
          </w:tcPr>
          <w:p w14:paraId="22E6D9BC" w14:textId="248BA218" w:rsidR="009637CB" w:rsidRPr="00585F33" w:rsidRDefault="009637CB" w:rsidP="00131656">
            <w:pPr>
              <w:spacing w:line="276" w:lineRule="auto"/>
              <w:jc w:val="center"/>
              <w:rPr>
                <w:rFonts w:cstheme="minorHAnsi"/>
              </w:rPr>
            </w:pPr>
            <w:r w:rsidRPr="00585F33">
              <w:rPr>
                <w:rFonts w:cstheme="minorHAnsi"/>
              </w:rPr>
              <w:t>Date de clôture</w:t>
            </w:r>
          </w:p>
        </w:tc>
        <w:tc>
          <w:tcPr>
            <w:tcW w:w="3600" w:type="dxa"/>
          </w:tcPr>
          <w:p w14:paraId="0D3BC1BD" w14:textId="440085FF" w:rsidR="009637CB" w:rsidRPr="00585F33" w:rsidRDefault="009637CB" w:rsidP="00131656">
            <w:pPr>
              <w:rPr>
                <w:rFonts w:cstheme="minorHAnsi"/>
              </w:rPr>
            </w:pPr>
            <w:r w:rsidRPr="00585F33">
              <w:rPr>
                <w:rFonts w:cstheme="minorHAnsi"/>
              </w:rPr>
              <w:t>30 Août 2024</w:t>
            </w:r>
          </w:p>
        </w:tc>
      </w:tr>
    </w:tbl>
    <w:p w14:paraId="621DE9C1" w14:textId="287FFE60" w:rsidR="009637CB" w:rsidRPr="009637CB" w:rsidRDefault="009637CB" w:rsidP="009637CB">
      <w:pPr>
        <w:spacing w:before="100" w:beforeAutospacing="1" w:after="100" w:afterAutospacing="1" w:line="240" w:lineRule="auto"/>
        <w:outlineLvl w:val="2"/>
        <w:rPr>
          <w:rFonts w:eastAsia="Times New Roman" w:cstheme="minorHAnsi"/>
          <w:b/>
          <w:bCs/>
          <w:lang w:val="fr-CA"/>
        </w:rPr>
      </w:pPr>
      <w:r w:rsidRPr="009637CB">
        <w:rPr>
          <w:rFonts w:eastAsia="Times New Roman" w:cstheme="minorHAnsi"/>
          <w:b/>
          <w:bCs/>
          <w:lang w:val="fr-CA"/>
        </w:rPr>
        <w:t xml:space="preserve">1. Résumé </w:t>
      </w:r>
    </w:p>
    <w:p w14:paraId="309D7C73" w14:textId="16E4607E" w:rsidR="009637CB" w:rsidRPr="009637CB" w:rsidRDefault="009637CB" w:rsidP="00C41940">
      <w:pPr>
        <w:spacing w:before="100" w:beforeAutospacing="1" w:after="100" w:afterAutospacing="1" w:line="240" w:lineRule="auto"/>
        <w:jc w:val="both"/>
        <w:rPr>
          <w:rFonts w:eastAsia="Times New Roman" w:cstheme="minorHAnsi"/>
          <w:lang w:val="fr-CA"/>
        </w:rPr>
      </w:pPr>
      <w:r w:rsidRPr="009637CB">
        <w:rPr>
          <w:rFonts w:eastAsia="Times New Roman" w:cstheme="minorHAnsi"/>
          <w:lang w:val="fr-CA"/>
        </w:rPr>
        <w:t xml:space="preserve">L'Initiative Clinton pour l'accès à la santé (CHAI) est une sous-subvention de FHI360 dans le cadre du projet EpiC (Meeting Targets and Maintaining Epidemic Control), un projet mondial de </w:t>
      </w:r>
      <w:r w:rsidR="00C40B64" w:rsidRPr="009637CB">
        <w:rPr>
          <w:rFonts w:eastAsia="Times New Roman" w:cstheme="minorHAnsi"/>
          <w:lang w:val="fr-CA"/>
        </w:rPr>
        <w:t>huit ans financé</w:t>
      </w:r>
      <w:r w:rsidRPr="009637CB">
        <w:rPr>
          <w:rFonts w:eastAsia="Times New Roman" w:cstheme="minorHAnsi"/>
          <w:lang w:val="fr-CA"/>
        </w:rPr>
        <w:t xml:space="preserve"> par l'Agence américaine pour le développement international (USAID). EpiC a reçu un financement COVID-19 pour prévenir, préparer, répondre et renforcer les systèmes de santé afin de lutter contre le COVID-19 et de réduire les cas de réémergence. Une partie du programme COVID-19 d'EpiC consiste à fournir des systèmes d'oxygène médical de haute qualité. FHI360 est le principal partenaire de mise en œuvre d'EpiC.</w:t>
      </w:r>
    </w:p>
    <w:p w14:paraId="24BC1628" w14:textId="77777777" w:rsidR="009637CB" w:rsidRPr="00585F33" w:rsidRDefault="009637CB" w:rsidP="00C41940">
      <w:pPr>
        <w:spacing w:before="100" w:beforeAutospacing="1" w:after="100" w:afterAutospacing="1" w:line="240" w:lineRule="auto"/>
        <w:jc w:val="both"/>
        <w:rPr>
          <w:rFonts w:eastAsia="Times New Roman" w:cstheme="minorHAnsi"/>
          <w:lang w:val="fr-CA"/>
        </w:rPr>
      </w:pPr>
      <w:r w:rsidRPr="009637CB">
        <w:rPr>
          <w:rFonts w:eastAsia="Times New Roman" w:cstheme="minorHAnsi"/>
          <w:lang w:val="fr-CA"/>
        </w:rPr>
        <w:t>CHAI recherche des fournisseurs intéressés et capables de soumettre des offres pour la fourniture pendant 12 mois d'oxygène liquide médical (mLOX), les opérations de systèmes de remplissage liquide-gaz (L2G) et le renforcement des capacités associées aux Cliniques Universitaires de Kinshasa (CUK) en République Démocratique du Congo (RDC), comme détaillé dans les informations sur le produit (Annexe A) de cet appel d'offres.</w:t>
      </w:r>
    </w:p>
    <w:p w14:paraId="6768CEB9" w14:textId="77777777" w:rsidR="00585F33" w:rsidRPr="00585F33" w:rsidRDefault="00585F33" w:rsidP="00C41940">
      <w:pPr>
        <w:spacing w:before="100" w:beforeAutospacing="1" w:after="100" w:afterAutospacing="1" w:line="240" w:lineRule="auto"/>
        <w:jc w:val="both"/>
        <w:rPr>
          <w:rFonts w:eastAsia="Times New Roman" w:cstheme="minorHAnsi"/>
          <w:lang w:val="fr-CA"/>
        </w:rPr>
      </w:pPr>
      <w:r w:rsidRPr="00585F33">
        <w:rPr>
          <w:rFonts w:eastAsia="Times New Roman" w:cstheme="minorHAnsi"/>
          <w:lang w:val="fr-CA"/>
        </w:rPr>
        <w:t>Dans le cadre de cet appel d'offres, EpiC peut fournir un financement en capital pour l'acquisition d'infrastructures complémentaires, y compris, mais sans s'y limiter, des réservoirs de transport cryogénique, des véhicules de transport, des camions-citernes, etc., si les vendeurs en expriment le besoin. EpiC utilisera les informations fournies par les répondants pour soutenir les décisions stratégiques et la planification au sein du portefeuille d'EpiC. L'objectif du financement en capital est d'identifier les opportunités permettant d'aider les fournisseurs locaux à accroître la disponibilité et l'accessibilité financière de l'oxygène médical en RDC.</w:t>
      </w:r>
    </w:p>
    <w:p w14:paraId="5D78246B" w14:textId="5BE19AAD" w:rsidR="00585F33" w:rsidRPr="00585F33" w:rsidRDefault="00585F33" w:rsidP="00C41940">
      <w:pPr>
        <w:spacing w:before="100" w:beforeAutospacing="1" w:after="100" w:afterAutospacing="1" w:line="240" w:lineRule="auto"/>
        <w:jc w:val="both"/>
        <w:rPr>
          <w:rFonts w:eastAsia="Times New Roman" w:cstheme="minorHAnsi"/>
          <w:lang w:val="fr-CA"/>
        </w:rPr>
      </w:pPr>
      <w:r w:rsidRPr="00585F33">
        <w:rPr>
          <w:rFonts w:eastAsia="Times New Roman" w:cstheme="minorHAnsi"/>
          <w:lang w:val="fr-CA"/>
        </w:rPr>
        <w:t xml:space="preserve">Les entreprises sont invitées à soumettre des propositions détaillant la capacité d'oxygène médical qu'elles pourraient offrir avec un soutien supplémentaire, ainsi que le soutien spécifique requis. Les propositions doivent préciser tout besoin de soutien financier et fournir des estimations de coûts détaillées pour tous les éléments de la proposition. Les éléments recommandés pour les propositions comprennent : La proposition de valeur et l'impact attendu, la vision d'un modèle d'entreprise qui soutient l'augmentation de la disponibilité et de l'accessibilité financière de l'oxygène liquide en RDC, les activités proposées, les produits livrables et le calendrier, les besoins de financement estimés et les exigences de soutien, les partenariats et les rôles pertinents, les biographies du personnel clé et toutes les qualifications, restrictions ou conditions applicables. Lors de la préparation de votre appel d'offres, </w:t>
      </w:r>
      <w:r w:rsidR="00C40B64" w:rsidRPr="00585F33">
        <w:rPr>
          <w:rFonts w:eastAsia="Times New Roman" w:cstheme="minorHAnsi"/>
          <w:lang w:val="fr-CA"/>
        </w:rPr>
        <w:t>veuillez-vous</w:t>
      </w:r>
      <w:r w:rsidRPr="00585F33">
        <w:rPr>
          <w:rFonts w:eastAsia="Times New Roman" w:cstheme="minorHAnsi"/>
          <w:lang w:val="fr-CA"/>
        </w:rPr>
        <w:t xml:space="preserve"> inspirer des spécifications techniques et des détails joints à l'annexe B, ainsi que du code de conduite et d'éthique de la CHAI pour les fournisseurs, qui figure à l'annexe C.</w:t>
      </w:r>
    </w:p>
    <w:p w14:paraId="44BD2215" w14:textId="5E45EA8B" w:rsidR="00585F33" w:rsidRPr="00585F33" w:rsidRDefault="00585F33" w:rsidP="00C41940">
      <w:pPr>
        <w:jc w:val="both"/>
        <w:rPr>
          <w:b/>
          <w:bCs/>
          <w:lang w:val="fr-CA"/>
        </w:rPr>
      </w:pPr>
      <w:r w:rsidRPr="00585F33">
        <w:rPr>
          <w:b/>
          <w:bCs/>
          <w:lang w:val="fr-CA"/>
        </w:rPr>
        <w:t>2. Aperçu du projet</w:t>
      </w:r>
    </w:p>
    <w:p w14:paraId="26D15367" w14:textId="77777777" w:rsidR="00585F33" w:rsidRPr="00585F33" w:rsidRDefault="00585F33" w:rsidP="00C41940">
      <w:pPr>
        <w:jc w:val="both"/>
        <w:rPr>
          <w:b/>
          <w:bCs/>
          <w:lang w:val="fr-CA"/>
        </w:rPr>
      </w:pPr>
      <w:r w:rsidRPr="00585F33">
        <w:rPr>
          <w:lang w:val="fr-CA"/>
        </w:rPr>
        <w:lastRenderedPageBreak/>
        <w:t>Les Cliniques Universitaires de Kinshasa (CUK) sont un établissement tertiaire situé à Kinshasa où il est prévu d'introduire le mLOX. Deux réservoirs cryogéniques seront installés dans l'établissement. Le mLOX sera acheminé au chevet des patients à partir du premier réservoir, tandis que le second servira à remplir des bouteilles pour une zone de captage. Par conséquent, les deux réservoirs VIE, les vaporisateurs haute pression et ambiants, les pompes cryogéniques, les régulateurs, les collecteurs de remplissage, les systèmes de télémétrie, le génie civil des réservoirs, l'installation, la mise en service et la maintenance sont fournis par des fournisseurs présélectionnés dans le cadre d'un appel d'offres distinct antérieur</w:t>
      </w:r>
      <w:r w:rsidRPr="00585F33">
        <w:rPr>
          <w:b/>
          <w:bCs/>
          <w:lang w:val="fr-CA"/>
        </w:rPr>
        <w:t>.</w:t>
      </w:r>
    </w:p>
    <w:p w14:paraId="7C1E544E" w14:textId="1E21EB9E" w:rsidR="00585F33" w:rsidRPr="00585F33" w:rsidRDefault="00585F33" w:rsidP="00C41940">
      <w:pPr>
        <w:jc w:val="both"/>
        <w:rPr>
          <w:b/>
          <w:bCs/>
          <w:lang w:val="fr-CA"/>
        </w:rPr>
      </w:pPr>
      <w:r w:rsidRPr="00585F33">
        <w:rPr>
          <w:b/>
          <w:bCs/>
          <w:lang w:val="fr-CA"/>
        </w:rPr>
        <w:t>3. Champ d'application de l'appel d'offres</w:t>
      </w:r>
    </w:p>
    <w:p w14:paraId="32953FDB" w14:textId="77777777" w:rsidR="00585F33" w:rsidRPr="00585F33" w:rsidRDefault="00585F33" w:rsidP="00C41940">
      <w:pPr>
        <w:jc w:val="both"/>
        <w:rPr>
          <w:lang w:val="fr-CA"/>
        </w:rPr>
      </w:pPr>
      <w:r w:rsidRPr="00585F33">
        <w:rPr>
          <w:lang w:val="fr-CA"/>
        </w:rPr>
        <w:t>Dans le cadre du présent appel d'offres - ITB/CHAI/LOxF/DRC/0124 - les entreprises sont invitées à soumettre des offres pour fournir un approvisionnement régulier de 12 mois en mLOX afin de remplir les deux réservoirs VIE susmentionnés (Lot 1). Le tableau ci-dessous résume la taille des réservoirs et la demande de mLOX.</w:t>
      </w:r>
    </w:p>
    <w:p w14:paraId="22BF706E" w14:textId="77777777" w:rsidR="00585F33" w:rsidRPr="00585F33" w:rsidRDefault="00585F33" w:rsidP="00C41940">
      <w:pPr>
        <w:jc w:val="both"/>
        <w:rPr>
          <w:lang w:val="fr-CA"/>
        </w:rPr>
      </w:pPr>
      <w:r w:rsidRPr="00585F33">
        <w:rPr>
          <w:lang w:val="fr-CA"/>
        </w:rPr>
        <w:t>Les entreprises sont également invitées à soumettre des offres pour proposer un service d'opération de remplissage de bouteilles L2G et de renforcement des capacités du personnel local, afin de mettre de l'oxygène gazeux à la disposition des établissements d'une zone de chalandise sélectionnée pendant 12 mois (Lot 2). Les entreprises peuvent répondre à l'un ou l'autre des lots, ou aux deux.</w:t>
      </w:r>
    </w:p>
    <w:p w14:paraId="2548E475" w14:textId="77777777" w:rsidR="00585F33" w:rsidRDefault="00585F33" w:rsidP="00C41940">
      <w:pPr>
        <w:jc w:val="both"/>
        <w:rPr>
          <w:lang w:val="fr-CA"/>
        </w:rPr>
      </w:pPr>
      <w:r w:rsidRPr="00585F33">
        <w:rPr>
          <w:lang w:val="fr-CA"/>
        </w:rPr>
        <w:t>Une illustration suggestive de la chaîne de contrôle de l'approvisionnement en mLOX figure à l'annexe D ci-dessous.</w:t>
      </w:r>
    </w:p>
    <w:p w14:paraId="46482C60" w14:textId="0686CE26" w:rsidR="00585F33" w:rsidRPr="00585F33" w:rsidRDefault="00585F33" w:rsidP="00585F33">
      <w:pPr>
        <w:jc w:val="both"/>
      </w:pPr>
      <w:r w:rsidRPr="00585F33">
        <w:rPr>
          <w:i/>
          <w:iCs/>
        </w:rPr>
        <w:t>Demande de LOX par établissement</w:t>
      </w: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10"/>
        <w:gridCol w:w="1890"/>
        <w:gridCol w:w="3240"/>
      </w:tblGrid>
      <w:tr w:rsidR="00585F33" w:rsidRPr="00585F33" w14:paraId="7889B04A" w14:textId="77777777" w:rsidTr="00131656">
        <w:trPr>
          <w:trHeight w:val="285"/>
        </w:trPr>
        <w:tc>
          <w:tcPr>
            <w:tcW w:w="3810" w:type="dxa"/>
            <w:tcMar>
              <w:left w:w="105" w:type="dxa"/>
              <w:right w:w="105" w:type="dxa"/>
            </w:tcMar>
            <w:vAlign w:val="center"/>
          </w:tcPr>
          <w:p w14:paraId="73FBF025" w14:textId="77777777" w:rsidR="00585F33" w:rsidRDefault="00585F33" w:rsidP="00585F33">
            <w:pPr>
              <w:rPr>
                <w:b/>
                <w:bCs/>
              </w:rPr>
            </w:pPr>
            <w:r>
              <w:rPr>
                <w:b/>
                <w:bCs/>
              </w:rPr>
              <w:t>Établissement de santé</w:t>
            </w:r>
          </w:p>
          <w:p w14:paraId="193CC0D2" w14:textId="0815F5EA" w:rsidR="00585F33" w:rsidRPr="002D023D" w:rsidRDefault="00585F33" w:rsidP="00131656">
            <w:pPr>
              <w:spacing w:line="259" w:lineRule="auto"/>
              <w:rPr>
                <w:rFonts w:ascii="Calibri" w:eastAsia="Calibri" w:hAnsi="Calibri" w:cs="Calibri"/>
              </w:rPr>
            </w:pPr>
          </w:p>
        </w:tc>
        <w:tc>
          <w:tcPr>
            <w:tcW w:w="1890" w:type="dxa"/>
            <w:tcMar>
              <w:left w:w="105" w:type="dxa"/>
              <w:right w:w="105" w:type="dxa"/>
            </w:tcMar>
            <w:vAlign w:val="center"/>
          </w:tcPr>
          <w:p w14:paraId="4ABE06D0" w14:textId="47B02429" w:rsidR="00585F33" w:rsidRPr="00585F33" w:rsidRDefault="00585F33" w:rsidP="00131656">
            <w:pPr>
              <w:spacing w:line="259" w:lineRule="auto"/>
              <w:jc w:val="center"/>
              <w:rPr>
                <w:rFonts w:ascii="Calibri" w:eastAsia="Calibri" w:hAnsi="Calibri" w:cs="Calibri"/>
                <w:b/>
                <w:bCs/>
                <w:lang w:val="fr-CA"/>
              </w:rPr>
            </w:pPr>
            <w:r w:rsidRPr="00585F33">
              <w:rPr>
                <w:rFonts w:ascii="Calibri" w:eastAsia="Calibri" w:hAnsi="Calibri" w:cs="Calibri"/>
                <w:b/>
                <w:bCs/>
                <w:lang w:val="fr-CA"/>
              </w:rPr>
              <w:t>Taille du réservoir de mLOX en vrac (tonnes)</w:t>
            </w:r>
          </w:p>
        </w:tc>
        <w:tc>
          <w:tcPr>
            <w:tcW w:w="3240" w:type="dxa"/>
            <w:tcMar>
              <w:left w:w="105" w:type="dxa"/>
              <w:right w:w="105" w:type="dxa"/>
            </w:tcMar>
            <w:vAlign w:val="center"/>
          </w:tcPr>
          <w:p w14:paraId="7718412F" w14:textId="3BDED423" w:rsidR="00585F33" w:rsidRPr="00585F33" w:rsidRDefault="00585F33" w:rsidP="00131656">
            <w:pPr>
              <w:spacing w:line="259" w:lineRule="auto"/>
              <w:jc w:val="center"/>
              <w:rPr>
                <w:rFonts w:ascii="Calibri" w:eastAsia="Calibri" w:hAnsi="Calibri" w:cs="Calibri"/>
                <w:b/>
                <w:bCs/>
                <w:lang w:val="fr-CA"/>
              </w:rPr>
            </w:pPr>
            <w:r w:rsidRPr="00585F33">
              <w:rPr>
                <w:rFonts w:ascii="Calibri" w:eastAsia="Calibri" w:hAnsi="Calibri" w:cs="Calibri"/>
                <w:b/>
                <w:bCs/>
                <w:lang w:val="fr-CA"/>
              </w:rPr>
              <w:t>Estimation de la demande de mLOX par mois (tonnes de liquide)</w:t>
            </w:r>
          </w:p>
        </w:tc>
      </w:tr>
      <w:tr w:rsidR="00585F33" w:rsidRPr="002D023D" w14:paraId="79E45070" w14:textId="77777777" w:rsidTr="00131656">
        <w:trPr>
          <w:trHeight w:val="285"/>
        </w:trPr>
        <w:tc>
          <w:tcPr>
            <w:tcW w:w="3810" w:type="dxa"/>
            <w:tcMar>
              <w:left w:w="105" w:type="dxa"/>
              <w:right w:w="105" w:type="dxa"/>
            </w:tcMar>
          </w:tcPr>
          <w:p w14:paraId="553D0FC7" w14:textId="06D32751" w:rsidR="00585F33" w:rsidRPr="00585F33" w:rsidRDefault="00585F33" w:rsidP="00131656">
            <w:pPr>
              <w:spacing w:line="259" w:lineRule="auto"/>
              <w:rPr>
                <w:rFonts w:ascii="Calibri" w:eastAsia="Calibri" w:hAnsi="Calibri" w:cs="Calibri"/>
                <w:lang w:val="fr-CA"/>
              </w:rPr>
            </w:pPr>
            <w:r w:rsidRPr="00585F33">
              <w:rPr>
                <w:rFonts w:ascii="Calibri" w:eastAsia="Calibri" w:hAnsi="Calibri" w:cs="Calibri"/>
                <w:lang w:val="fr-CA"/>
              </w:rPr>
              <w:t>Réservoir VIE 1 pour les Cliniques Universitaires de Kinshasa</w:t>
            </w:r>
          </w:p>
        </w:tc>
        <w:tc>
          <w:tcPr>
            <w:tcW w:w="1890" w:type="dxa"/>
            <w:tcMar>
              <w:left w:w="105" w:type="dxa"/>
              <w:right w:w="105" w:type="dxa"/>
            </w:tcMar>
          </w:tcPr>
          <w:p w14:paraId="229319BD" w14:textId="77777777" w:rsidR="00585F33" w:rsidRPr="002D023D" w:rsidRDefault="00585F33" w:rsidP="00131656">
            <w:pPr>
              <w:spacing w:line="259" w:lineRule="auto"/>
              <w:jc w:val="center"/>
              <w:rPr>
                <w:rFonts w:ascii="Calibri" w:eastAsia="Calibri" w:hAnsi="Calibri" w:cs="Calibri"/>
                <w:lang w:val="en-GB"/>
              </w:rPr>
            </w:pPr>
            <w:r w:rsidRPr="002D023D">
              <w:rPr>
                <w:rFonts w:ascii="Calibri" w:eastAsia="Calibri" w:hAnsi="Calibri" w:cs="Calibri"/>
                <w:lang w:val="en-GB"/>
              </w:rPr>
              <w:t>20</w:t>
            </w:r>
          </w:p>
        </w:tc>
        <w:tc>
          <w:tcPr>
            <w:tcW w:w="3240" w:type="dxa"/>
            <w:tcMar>
              <w:left w:w="105" w:type="dxa"/>
              <w:right w:w="105" w:type="dxa"/>
            </w:tcMar>
          </w:tcPr>
          <w:p w14:paraId="004F3657" w14:textId="77777777" w:rsidR="00585F33" w:rsidRPr="002D023D" w:rsidRDefault="00585F33" w:rsidP="00131656">
            <w:pPr>
              <w:spacing w:line="259" w:lineRule="auto"/>
              <w:jc w:val="center"/>
              <w:rPr>
                <w:rFonts w:ascii="Calibri" w:eastAsia="Calibri" w:hAnsi="Calibri" w:cs="Calibri"/>
                <w:lang w:val="en-GB"/>
              </w:rPr>
            </w:pPr>
            <w:r w:rsidRPr="002D023D">
              <w:rPr>
                <w:rFonts w:ascii="Calibri" w:eastAsia="Calibri" w:hAnsi="Calibri" w:cs="Calibri"/>
                <w:lang w:val="en-GB"/>
              </w:rPr>
              <w:t>12</w:t>
            </w:r>
          </w:p>
        </w:tc>
      </w:tr>
      <w:tr w:rsidR="00585F33" w:rsidRPr="002D023D" w14:paraId="71201273" w14:textId="77777777" w:rsidTr="00131656">
        <w:trPr>
          <w:trHeight w:val="285"/>
        </w:trPr>
        <w:tc>
          <w:tcPr>
            <w:tcW w:w="3810" w:type="dxa"/>
            <w:tcMar>
              <w:left w:w="105" w:type="dxa"/>
              <w:right w:w="105" w:type="dxa"/>
            </w:tcMar>
          </w:tcPr>
          <w:p w14:paraId="46EED8AB" w14:textId="1F511077" w:rsidR="00585F33" w:rsidRPr="00585F33" w:rsidRDefault="00585F33" w:rsidP="00131656">
            <w:pPr>
              <w:spacing w:line="259" w:lineRule="auto"/>
              <w:rPr>
                <w:rFonts w:ascii="Calibri" w:eastAsia="Calibri" w:hAnsi="Calibri" w:cs="Calibri"/>
                <w:lang w:val="fr-CA"/>
              </w:rPr>
            </w:pPr>
            <w:r w:rsidRPr="00585F33">
              <w:rPr>
                <w:rFonts w:ascii="Calibri" w:eastAsia="Calibri" w:hAnsi="Calibri" w:cs="Calibri"/>
                <w:lang w:val="fr-CA"/>
              </w:rPr>
              <w:t>Réservoir VIE 2 pour la station-service</w:t>
            </w:r>
          </w:p>
        </w:tc>
        <w:tc>
          <w:tcPr>
            <w:tcW w:w="1890" w:type="dxa"/>
            <w:tcMar>
              <w:left w:w="105" w:type="dxa"/>
              <w:right w:w="105" w:type="dxa"/>
            </w:tcMar>
          </w:tcPr>
          <w:p w14:paraId="53FAE346" w14:textId="77777777" w:rsidR="00585F33" w:rsidRPr="002D023D" w:rsidRDefault="00585F33" w:rsidP="00131656">
            <w:pPr>
              <w:spacing w:line="259" w:lineRule="auto"/>
              <w:jc w:val="center"/>
              <w:rPr>
                <w:rFonts w:ascii="Calibri" w:eastAsia="Calibri" w:hAnsi="Calibri" w:cs="Calibri"/>
              </w:rPr>
            </w:pPr>
            <w:r w:rsidRPr="002D023D">
              <w:rPr>
                <w:rFonts w:ascii="Calibri" w:eastAsia="Calibri" w:hAnsi="Calibri" w:cs="Calibri"/>
                <w:lang w:val="en-GB"/>
              </w:rPr>
              <w:t>20</w:t>
            </w:r>
          </w:p>
        </w:tc>
        <w:tc>
          <w:tcPr>
            <w:tcW w:w="3240" w:type="dxa"/>
            <w:tcMar>
              <w:left w:w="105" w:type="dxa"/>
              <w:right w:w="105" w:type="dxa"/>
            </w:tcMar>
          </w:tcPr>
          <w:p w14:paraId="5AEDD563" w14:textId="77777777" w:rsidR="00585F33" w:rsidRPr="002D023D" w:rsidRDefault="00585F33" w:rsidP="00131656">
            <w:pPr>
              <w:spacing w:line="259" w:lineRule="auto"/>
              <w:jc w:val="center"/>
              <w:rPr>
                <w:rFonts w:ascii="Calibri" w:eastAsia="Calibri" w:hAnsi="Calibri" w:cs="Calibri"/>
                <w:lang w:val="en-GB"/>
              </w:rPr>
            </w:pPr>
            <w:r w:rsidRPr="002D023D">
              <w:rPr>
                <w:rFonts w:ascii="Calibri" w:eastAsia="Calibri" w:hAnsi="Calibri" w:cs="Calibri"/>
                <w:lang w:val="en-GB"/>
              </w:rPr>
              <w:t>12</w:t>
            </w:r>
          </w:p>
        </w:tc>
      </w:tr>
    </w:tbl>
    <w:p w14:paraId="3CF83602" w14:textId="77777777" w:rsidR="00585F33" w:rsidRPr="00585F33" w:rsidRDefault="00585F33" w:rsidP="00585F33">
      <w:pPr>
        <w:jc w:val="both"/>
        <w:rPr>
          <w:lang w:val="fr-CA"/>
        </w:rPr>
      </w:pPr>
    </w:p>
    <w:p w14:paraId="6FB2E7DA" w14:textId="66795E4A" w:rsidR="00621DA1" w:rsidRDefault="00621DA1" w:rsidP="009637CB">
      <w:pPr>
        <w:jc w:val="both"/>
        <w:rPr>
          <w:lang w:val="fr-CA"/>
        </w:rPr>
      </w:pPr>
      <w:r w:rsidRPr="00621DA1">
        <w:rPr>
          <w:lang w:val="fr-CA"/>
        </w:rPr>
        <w:t>Toute information soumise en réponse à cet appel d'offres est fournie à la CHAI sur une base volontaire. La CHAI se réserve le droit de ne pas acquérir les services ou produits décrits dans ce document. L'acquisition de ces services ou produits est conditionnée par la fourniture de la documentation technique et qualitative nécessaire ainsi que par la conclusion et l'approbation d'un contrat écrit.</w:t>
      </w:r>
    </w:p>
    <w:p w14:paraId="6CAE6595" w14:textId="5A647C47" w:rsidR="00621DA1" w:rsidRDefault="00621DA1" w:rsidP="00621DA1">
      <w:pPr>
        <w:jc w:val="both"/>
        <w:rPr>
          <w:lang w:val="fr-CA"/>
        </w:rPr>
      </w:pPr>
      <w:r>
        <w:rPr>
          <w:b/>
          <w:bCs/>
          <w:lang w:val="fr-CA"/>
        </w:rPr>
        <w:t xml:space="preserve">4. </w:t>
      </w:r>
      <w:r w:rsidRPr="00621DA1">
        <w:rPr>
          <w:b/>
          <w:bCs/>
          <w:lang w:val="fr-CA"/>
        </w:rPr>
        <w:t>Session d'information et visite obligatoire du site :</w:t>
      </w:r>
    </w:p>
    <w:p w14:paraId="512E5B9F" w14:textId="3C142A7A" w:rsidR="00621DA1" w:rsidRPr="00621DA1" w:rsidRDefault="00621DA1" w:rsidP="00621DA1">
      <w:pPr>
        <w:jc w:val="both"/>
        <w:rPr>
          <w:lang w:val="fr-CA"/>
        </w:rPr>
      </w:pPr>
      <w:r w:rsidRPr="00621DA1">
        <w:rPr>
          <w:lang w:val="fr-CA"/>
        </w:rPr>
        <w:t>Une séance de questions/réponses ouverte sera organisée le 16 août 2024, suivie d'une visite obligatoire du site le 21 août 2024 aux Cliniques Universitaires de Kinshasa. Un rapport de visite des lieux sera requis dans le cadre de la soumission de l'offre.</w:t>
      </w:r>
    </w:p>
    <w:p w14:paraId="7A7DB747" w14:textId="3B70B3E9" w:rsidR="00621DA1" w:rsidRDefault="00621DA1" w:rsidP="00621DA1">
      <w:pPr>
        <w:jc w:val="both"/>
        <w:rPr>
          <w:rFonts w:ascii="Calibri" w:hAnsi="Calibri" w:cs="Calibri"/>
          <w:lang w:val="fr-CA"/>
        </w:rPr>
      </w:pPr>
      <w:r w:rsidRPr="00621DA1">
        <w:rPr>
          <w:lang w:val="fr-CA"/>
        </w:rPr>
        <w:t xml:space="preserve">En cas de circonstances substantielles empêchant les soumissionnaires potentiels d'assister à la visite aux dates prévues, une notification écrite détaillée doit être envoyée par courrier électronique à l'adresse suivante : </w:t>
      </w:r>
      <w:hyperlink r:id="rId7" w:history="1">
        <w:r w:rsidRPr="00621DA1">
          <w:rPr>
            <w:rStyle w:val="Hyperlink"/>
            <w:rFonts w:ascii="Calibri" w:hAnsi="Calibri" w:cs="Calibri"/>
            <w:lang w:val="fr-CA"/>
          </w:rPr>
          <w:t>drcprocurement@clintonhealthaccess.org</w:t>
        </w:r>
      </w:hyperlink>
      <w:r w:rsidRPr="00621DA1">
        <w:rPr>
          <w:rFonts w:ascii="Calibri" w:hAnsi="Calibri" w:cs="Calibri"/>
          <w:lang w:val="fr-CA"/>
        </w:rPr>
        <w:t>.</w:t>
      </w:r>
    </w:p>
    <w:p w14:paraId="22779D55" w14:textId="328CEEFF" w:rsidR="00621DA1" w:rsidRPr="00621DA1" w:rsidRDefault="00621DA1" w:rsidP="00621DA1">
      <w:pPr>
        <w:jc w:val="both"/>
        <w:rPr>
          <w:lang w:val="fr-CA"/>
        </w:rPr>
      </w:pPr>
      <w:r>
        <w:rPr>
          <w:b/>
          <w:bCs/>
          <w:lang w:val="fr-CA"/>
        </w:rPr>
        <w:lastRenderedPageBreak/>
        <w:t>5</w:t>
      </w:r>
      <w:r w:rsidRPr="00621DA1">
        <w:rPr>
          <w:b/>
          <w:bCs/>
          <w:lang w:val="fr-CA"/>
        </w:rPr>
        <w:t>. Questions et éclaircissements :</w:t>
      </w:r>
    </w:p>
    <w:p w14:paraId="61DB9A3F" w14:textId="30BEE7F4" w:rsidR="00621DA1" w:rsidRPr="00621DA1" w:rsidRDefault="00621DA1" w:rsidP="00621DA1">
      <w:pPr>
        <w:jc w:val="both"/>
        <w:rPr>
          <w:lang w:val="fr-CA"/>
        </w:rPr>
      </w:pPr>
      <w:r w:rsidRPr="00621DA1">
        <w:rPr>
          <w:lang w:val="fr-CA"/>
        </w:rPr>
        <w:t xml:space="preserve">Toute notification, question ou demande de clarification concernant cet appel d'offres doit être envoyée par courriel à </w:t>
      </w:r>
      <w:hyperlink r:id="rId8" w:history="1">
        <w:r w:rsidRPr="00621DA1">
          <w:rPr>
            <w:rStyle w:val="Hyperlink"/>
            <w:rFonts w:ascii="Calibri" w:hAnsi="Calibri" w:cs="Calibri"/>
            <w:lang w:val="fr-CA"/>
          </w:rPr>
          <w:t>drcprocurement@clintonhealthaccess.org</w:t>
        </w:r>
      </w:hyperlink>
      <w:r>
        <w:rPr>
          <w:rFonts w:ascii="Calibri" w:hAnsi="Calibri" w:cs="Calibri"/>
          <w:lang w:val="fr-CA"/>
        </w:rPr>
        <w:t xml:space="preserve"> </w:t>
      </w:r>
      <w:r w:rsidRPr="00621DA1">
        <w:rPr>
          <w:lang w:val="fr-CA"/>
        </w:rPr>
        <w:t>en mentionnant "ITB/CHAI/LOxF/DRC/0124" dans la ligne d'objet, avant minuit GMT+1 le 23 août 2024. Les réponses seront communiquées via tous les canaux de sollicitation de l'ITB, ainsi que par réponse aux courriels.</w:t>
      </w:r>
    </w:p>
    <w:p w14:paraId="40B950F5" w14:textId="608DFACD" w:rsidR="00621DA1" w:rsidRPr="00621DA1" w:rsidRDefault="00621DA1" w:rsidP="00621DA1">
      <w:pPr>
        <w:jc w:val="both"/>
        <w:rPr>
          <w:lang w:val="fr-CA"/>
        </w:rPr>
      </w:pPr>
      <w:r>
        <w:rPr>
          <w:b/>
          <w:bCs/>
          <w:lang w:val="fr-CA"/>
        </w:rPr>
        <w:t>6</w:t>
      </w:r>
      <w:r w:rsidRPr="00621DA1">
        <w:rPr>
          <w:b/>
          <w:bCs/>
          <w:lang w:val="fr-CA"/>
        </w:rPr>
        <w:t>. Directives de soumission :</w:t>
      </w:r>
    </w:p>
    <w:p w14:paraId="20639A54" w14:textId="6608A372" w:rsidR="00621DA1" w:rsidRDefault="00621DA1" w:rsidP="00621DA1">
      <w:pPr>
        <w:jc w:val="both"/>
        <w:rPr>
          <w:rFonts w:ascii="Calibri" w:hAnsi="Calibri" w:cs="Calibri"/>
          <w:lang w:val="fr-CA"/>
        </w:rPr>
      </w:pPr>
      <w:r w:rsidRPr="00621DA1">
        <w:rPr>
          <w:lang w:val="fr-CA"/>
        </w:rPr>
        <w:t xml:space="preserve">Les devis/offres doivent être soumis au plus tard à minuit GMT+1 le 30 août 2024, par courriel à drcprocurement@clintonhealthaccess.org en mentionnant "ITB/CHAI/LOxF/DRC/0124" dans la ligne d'objet. Si votre soumission dépasse 2 Mo et ne peut être envoyée par courriel, veuillez envoyer un courriel demandant un lien de téléchargement avec le sujet "Requesting upload link" à </w:t>
      </w:r>
      <w:hyperlink r:id="rId9" w:history="1">
        <w:r w:rsidRPr="00621DA1">
          <w:rPr>
            <w:rStyle w:val="Hyperlink"/>
            <w:rFonts w:ascii="Calibri" w:hAnsi="Calibri" w:cs="Calibri"/>
            <w:lang w:val="fr-CA"/>
          </w:rPr>
          <w:t>drcprocurement@clintonhealthaccess.org</w:t>
        </w:r>
      </w:hyperlink>
      <w:r w:rsidRPr="00621DA1">
        <w:rPr>
          <w:rFonts w:ascii="Calibri" w:hAnsi="Calibri" w:cs="Calibri"/>
          <w:lang w:val="fr-CA"/>
        </w:rPr>
        <w:t>.</w:t>
      </w:r>
    </w:p>
    <w:p w14:paraId="63D8D20A" w14:textId="77FE6264" w:rsidR="00621DA1" w:rsidRPr="00621DA1" w:rsidRDefault="00621DA1" w:rsidP="00621DA1">
      <w:pPr>
        <w:jc w:val="both"/>
        <w:rPr>
          <w:b/>
          <w:bCs/>
          <w:lang w:val="fr-CA"/>
        </w:rPr>
      </w:pPr>
      <w:r w:rsidRPr="00621DA1">
        <w:rPr>
          <w:b/>
          <w:bCs/>
          <w:lang w:val="fr-CA"/>
        </w:rPr>
        <w:t>Les offres soumises après la date limite ne seront pas prises en considération. La fourniture de mLOX, les services de transport et les opérations de remplissage de L2G seront évalués conformément à la politique de qualité de CHAI ainsi qu'aux lois et réglementations locales applicables. Les vendeurs peuvent être invités à fournir des informations supplémentaires si nécessaire.</w:t>
      </w:r>
    </w:p>
    <w:p w14:paraId="0B39D7A5" w14:textId="5209F89A" w:rsidR="00621DA1" w:rsidRDefault="00621DA1" w:rsidP="00621DA1">
      <w:pPr>
        <w:jc w:val="both"/>
      </w:pPr>
      <w:r w:rsidRPr="00C41940">
        <w:rPr>
          <w:rStyle w:val="Strong"/>
        </w:rPr>
        <w:t>7</w:t>
      </w:r>
      <w:r>
        <w:t xml:space="preserve">. </w:t>
      </w:r>
      <w:r w:rsidRPr="00C41940">
        <w:rPr>
          <w:rStyle w:val="Strong"/>
        </w:rPr>
        <w:t>Conditions Générales</w:t>
      </w:r>
      <w:r w:rsidRPr="00621DA1">
        <w:t xml:space="preserve"> </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6120"/>
      </w:tblGrid>
      <w:tr w:rsidR="00621DA1" w:rsidRPr="00912630" w14:paraId="32BFA655" w14:textId="77777777" w:rsidTr="00131656">
        <w:trPr>
          <w:cantSplit/>
          <w:trHeight w:val="485"/>
        </w:trPr>
        <w:tc>
          <w:tcPr>
            <w:tcW w:w="4590" w:type="dxa"/>
          </w:tcPr>
          <w:p w14:paraId="76E68F50" w14:textId="1F88DEB6" w:rsidR="00621DA1" w:rsidRPr="00912630" w:rsidRDefault="00B47006" w:rsidP="00131656">
            <w:pPr>
              <w:spacing w:after="0" w:line="240" w:lineRule="auto"/>
              <w:rPr>
                <w:rFonts w:eastAsia="Times New Roman" w:cstheme="minorHAnsi"/>
              </w:rPr>
            </w:pPr>
            <w:r w:rsidRPr="00B47006">
              <w:rPr>
                <w:rFonts w:eastAsia="Times New Roman" w:cstheme="minorHAnsi"/>
              </w:rPr>
              <w:t xml:space="preserve">Conditions de livraison </w:t>
            </w:r>
            <w:r w:rsidR="00621DA1" w:rsidRPr="00912630">
              <w:rPr>
                <w:rFonts w:eastAsia="Times New Roman" w:cstheme="minorHAnsi"/>
              </w:rPr>
              <w:t>INCOTERMS 2020</w:t>
            </w:r>
          </w:p>
          <w:p w14:paraId="0614DBAA" w14:textId="77777777" w:rsidR="00621DA1" w:rsidRPr="00912630" w:rsidRDefault="00621DA1" w:rsidP="00131656">
            <w:pPr>
              <w:spacing w:after="0" w:line="240" w:lineRule="auto"/>
              <w:rPr>
                <w:rFonts w:eastAsia="Times New Roman" w:cstheme="minorHAnsi"/>
                <w:i/>
              </w:rPr>
            </w:pPr>
          </w:p>
        </w:tc>
        <w:tc>
          <w:tcPr>
            <w:tcW w:w="6120" w:type="dxa"/>
          </w:tcPr>
          <w:p w14:paraId="693BB5F0" w14:textId="77777777" w:rsidR="00621DA1" w:rsidRPr="00912630" w:rsidRDefault="00621DA1" w:rsidP="00131656">
            <w:pPr>
              <w:spacing w:after="0" w:line="240" w:lineRule="auto"/>
              <w:rPr>
                <w:rFonts w:eastAsia="Times New Roman" w:cstheme="minorHAnsi"/>
              </w:rPr>
            </w:pPr>
            <w:r w:rsidRPr="00912630">
              <w:rPr>
                <w:rFonts w:eastAsia="Times New Roman" w:cstheme="minorHAnsi"/>
                <w:bCs/>
              </w:rPr>
              <w:t xml:space="preserve">DPU </w:t>
            </w:r>
          </w:p>
        </w:tc>
      </w:tr>
      <w:tr w:rsidR="00621DA1" w:rsidRPr="00912630" w14:paraId="2B8E74B0" w14:textId="77777777" w:rsidTr="00131656">
        <w:trPr>
          <w:trHeight w:val="440"/>
        </w:trPr>
        <w:tc>
          <w:tcPr>
            <w:tcW w:w="4590" w:type="dxa"/>
          </w:tcPr>
          <w:p w14:paraId="7D5CE52A" w14:textId="49F9FB5F" w:rsidR="00621DA1" w:rsidRPr="00912630" w:rsidRDefault="00B47006" w:rsidP="00131656">
            <w:pPr>
              <w:spacing w:after="0" w:line="240" w:lineRule="auto"/>
              <w:rPr>
                <w:rFonts w:eastAsia="Times New Roman" w:cstheme="minorHAnsi"/>
              </w:rPr>
            </w:pPr>
            <w:r w:rsidRPr="00B47006">
              <w:rPr>
                <w:rFonts w:eastAsia="Times New Roman" w:cstheme="minorHAnsi"/>
              </w:rPr>
              <w:t xml:space="preserve">Le dédouanement et les droits de douane, </w:t>
            </w:r>
            <w:r>
              <w:rPr>
                <w:rFonts w:eastAsia="Times New Roman" w:cstheme="minorHAnsi"/>
              </w:rPr>
              <w:t>si necessaires</w:t>
            </w:r>
            <w:r w:rsidRPr="00B47006">
              <w:rPr>
                <w:rFonts w:eastAsia="Times New Roman" w:cstheme="minorHAnsi"/>
              </w:rPr>
              <w:t>, sont effectués par :</w:t>
            </w:r>
          </w:p>
        </w:tc>
        <w:tc>
          <w:tcPr>
            <w:tcW w:w="6120" w:type="dxa"/>
          </w:tcPr>
          <w:p w14:paraId="6FD077BD" w14:textId="77777777" w:rsidR="00621DA1" w:rsidRPr="00912630" w:rsidRDefault="00621DA1" w:rsidP="00131656">
            <w:pPr>
              <w:spacing w:after="0" w:line="240" w:lineRule="auto"/>
              <w:rPr>
                <w:rFonts w:eastAsia="Times New Roman" w:cstheme="minorHAnsi"/>
              </w:rPr>
            </w:pPr>
            <w:r w:rsidRPr="00912630">
              <w:rPr>
                <w:rFonts w:eastAsia="Times New Roman" w:cstheme="minorHAnsi"/>
              </w:rPr>
              <w:t>CHAI</w:t>
            </w:r>
          </w:p>
        </w:tc>
      </w:tr>
      <w:tr w:rsidR="00621DA1" w:rsidRPr="00621DA1" w14:paraId="720ECEAD" w14:textId="77777777" w:rsidTr="00131656">
        <w:trPr>
          <w:cantSplit/>
          <w:trHeight w:val="602"/>
        </w:trPr>
        <w:tc>
          <w:tcPr>
            <w:tcW w:w="4590" w:type="dxa"/>
          </w:tcPr>
          <w:p w14:paraId="131F547D" w14:textId="041F6C09" w:rsidR="00621DA1" w:rsidRPr="00912630" w:rsidRDefault="00B47006" w:rsidP="00131656">
            <w:pPr>
              <w:spacing w:after="0" w:line="240" w:lineRule="auto"/>
              <w:rPr>
                <w:rFonts w:eastAsia="Times New Roman" w:cstheme="minorHAnsi"/>
              </w:rPr>
            </w:pPr>
            <w:r w:rsidRPr="00B47006">
              <w:rPr>
                <w:rFonts w:eastAsia="Times New Roman" w:cstheme="minorHAnsi"/>
              </w:rPr>
              <w:t>Adresses exactes des lieux de livraison (identifier tous les lieux, s'il y en a plusieurs)</w:t>
            </w:r>
          </w:p>
        </w:tc>
        <w:tc>
          <w:tcPr>
            <w:tcW w:w="6120" w:type="dxa"/>
          </w:tcPr>
          <w:p w14:paraId="33F8FD01" w14:textId="2857549F" w:rsidR="00621DA1" w:rsidRPr="00476B46" w:rsidRDefault="00B47006" w:rsidP="00131656">
            <w:pPr>
              <w:spacing w:after="0" w:line="240" w:lineRule="auto"/>
              <w:rPr>
                <w:rFonts w:eastAsia="Times New Roman" w:cstheme="minorHAnsi"/>
                <w:lang w:val="fr-FR"/>
              </w:rPr>
            </w:pPr>
            <w:r w:rsidRPr="00B47006">
              <w:rPr>
                <w:rFonts w:eastAsia="Times New Roman" w:cstheme="minorHAnsi"/>
                <w:lang w:val="fr-FR"/>
              </w:rPr>
              <w:t>Cliniques Universitaires de Kinshasa, Avenue des Universités, N 1 Commune/Lemba, Kinshasa, DRC</w:t>
            </w:r>
          </w:p>
        </w:tc>
      </w:tr>
      <w:tr w:rsidR="00621DA1" w:rsidRPr="00912630" w14:paraId="4CFD81D6" w14:textId="77777777" w:rsidTr="00131656">
        <w:trPr>
          <w:cantSplit/>
          <w:trHeight w:val="638"/>
        </w:trPr>
        <w:tc>
          <w:tcPr>
            <w:tcW w:w="4590" w:type="dxa"/>
          </w:tcPr>
          <w:p w14:paraId="3D1BAF58" w14:textId="4ED71758" w:rsidR="00621DA1" w:rsidRPr="00912630" w:rsidRDefault="00B47006" w:rsidP="00131656">
            <w:pPr>
              <w:spacing w:after="0" w:line="240" w:lineRule="auto"/>
              <w:rPr>
                <w:rFonts w:eastAsia="Times New Roman" w:cstheme="minorHAnsi"/>
              </w:rPr>
            </w:pPr>
            <w:r w:rsidRPr="00B47006">
              <w:rPr>
                <w:rFonts w:eastAsia="Times New Roman" w:cstheme="minorHAnsi"/>
              </w:rPr>
              <w:t>Date et heure de livraison au plus tard (si le délai de livraison est supérieur à cette date, l'offre peut être rejetée par la CHAI)</w:t>
            </w:r>
          </w:p>
        </w:tc>
        <w:tc>
          <w:tcPr>
            <w:tcW w:w="6120" w:type="dxa"/>
          </w:tcPr>
          <w:p w14:paraId="6A229D68" w14:textId="1F7BA54B" w:rsidR="00621DA1" w:rsidRPr="00912630" w:rsidRDefault="00B47006" w:rsidP="00131656">
            <w:pPr>
              <w:spacing w:after="0" w:line="240" w:lineRule="auto"/>
              <w:rPr>
                <w:rFonts w:eastAsia="Times New Roman"/>
                <w:b/>
                <w:bCs/>
              </w:rPr>
            </w:pPr>
            <w:r w:rsidRPr="00B47006">
              <w:rPr>
                <w:rFonts w:eastAsia="Times New Roman"/>
                <w:b/>
                <w:bCs/>
              </w:rPr>
              <w:t>Voir chaque LOT</w:t>
            </w:r>
          </w:p>
        </w:tc>
      </w:tr>
      <w:tr w:rsidR="00621DA1" w:rsidRPr="00912630" w14:paraId="521457A5" w14:textId="77777777" w:rsidTr="00131656">
        <w:tc>
          <w:tcPr>
            <w:tcW w:w="4590" w:type="dxa"/>
          </w:tcPr>
          <w:p w14:paraId="346ACD87" w14:textId="585315C2" w:rsidR="00621DA1" w:rsidRPr="00912630" w:rsidRDefault="00B47006" w:rsidP="00131656">
            <w:pPr>
              <w:spacing w:after="0" w:line="240" w:lineRule="auto"/>
              <w:rPr>
                <w:rFonts w:eastAsia="Times New Roman" w:cstheme="minorHAnsi"/>
              </w:rPr>
            </w:pPr>
            <w:r w:rsidRPr="00B47006">
              <w:rPr>
                <w:rFonts w:eastAsia="Times New Roman" w:cstheme="minorHAnsi"/>
              </w:rPr>
              <w:t>Calendrier de livraison</w:t>
            </w:r>
          </w:p>
        </w:tc>
        <w:tc>
          <w:tcPr>
            <w:tcW w:w="6120" w:type="dxa"/>
          </w:tcPr>
          <w:p w14:paraId="005B8545" w14:textId="5D7DCE1C" w:rsidR="00621DA1" w:rsidRPr="00912630" w:rsidRDefault="00B47006" w:rsidP="00131656">
            <w:pPr>
              <w:spacing w:after="0" w:line="240" w:lineRule="auto"/>
              <w:rPr>
                <w:rFonts w:eastAsia="Times New Roman" w:cstheme="minorHAnsi"/>
                <w:b/>
              </w:rPr>
            </w:pPr>
            <w:r w:rsidRPr="00B47006">
              <w:rPr>
                <w:rFonts w:eastAsia="Times New Roman" w:cstheme="minorHAnsi"/>
                <w:b/>
              </w:rPr>
              <w:t>Préciser dans la section commentaires de l'annexe A</w:t>
            </w:r>
          </w:p>
        </w:tc>
      </w:tr>
      <w:tr w:rsidR="00621DA1" w:rsidRPr="0049791A" w14:paraId="26503A04" w14:textId="77777777" w:rsidTr="00131656">
        <w:trPr>
          <w:cantSplit/>
        </w:trPr>
        <w:tc>
          <w:tcPr>
            <w:tcW w:w="4590" w:type="dxa"/>
            <w:vMerge w:val="restart"/>
          </w:tcPr>
          <w:p w14:paraId="71733BE4" w14:textId="73FFA75B" w:rsidR="00621DA1" w:rsidRPr="00912630" w:rsidRDefault="00B47006" w:rsidP="00131656">
            <w:pPr>
              <w:spacing w:after="0" w:line="240" w:lineRule="auto"/>
              <w:rPr>
                <w:rFonts w:eastAsia="Times New Roman" w:cstheme="minorHAnsi"/>
                <w:noProof/>
              </w:rPr>
            </w:pPr>
            <w:r w:rsidRPr="00B47006">
              <w:rPr>
                <w:rFonts w:eastAsia="Times New Roman" w:cstheme="minorHAnsi"/>
                <w:noProof/>
              </w:rPr>
              <w:t>Mode de transport</w:t>
            </w:r>
          </w:p>
        </w:tc>
        <w:tc>
          <w:tcPr>
            <w:tcW w:w="6120" w:type="dxa"/>
            <w:tcBorders>
              <w:bottom w:val="nil"/>
            </w:tcBorders>
          </w:tcPr>
          <w:p w14:paraId="6CCD9814" w14:textId="37F80AFA" w:rsidR="00621DA1" w:rsidRPr="0049791A" w:rsidRDefault="00B47006" w:rsidP="00131656">
            <w:pPr>
              <w:spacing w:after="0" w:line="240" w:lineRule="auto"/>
              <w:rPr>
                <w:rFonts w:eastAsia="Times New Roman" w:cstheme="minorHAnsi"/>
                <w:b/>
              </w:rPr>
            </w:pPr>
            <w:r w:rsidRPr="00B47006">
              <w:rPr>
                <w:rFonts w:eastAsia="Times New Roman" w:cstheme="minorHAnsi"/>
                <w:b/>
              </w:rPr>
              <w:t>MER ET/OU ROUTE</w:t>
            </w:r>
          </w:p>
        </w:tc>
      </w:tr>
      <w:tr w:rsidR="00621DA1" w:rsidRPr="0049791A" w14:paraId="776521BA" w14:textId="77777777" w:rsidTr="00131656">
        <w:trPr>
          <w:cantSplit/>
          <w:trHeight w:val="215"/>
        </w:trPr>
        <w:tc>
          <w:tcPr>
            <w:tcW w:w="4590" w:type="dxa"/>
            <w:vMerge/>
          </w:tcPr>
          <w:p w14:paraId="6ECE83F1" w14:textId="77777777" w:rsidR="00621DA1" w:rsidRPr="0049791A" w:rsidRDefault="00621DA1" w:rsidP="00131656">
            <w:pPr>
              <w:spacing w:after="0" w:line="240" w:lineRule="auto"/>
              <w:rPr>
                <w:rFonts w:eastAsia="Times New Roman" w:cstheme="minorHAnsi"/>
              </w:rPr>
            </w:pPr>
          </w:p>
        </w:tc>
        <w:tc>
          <w:tcPr>
            <w:tcW w:w="6120" w:type="dxa"/>
            <w:tcBorders>
              <w:top w:val="nil"/>
            </w:tcBorders>
          </w:tcPr>
          <w:p w14:paraId="03A8A240" w14:textId="77777777" w:rsidR="00621DA1" w:rsidRPr="0049791A" w:rsidRDefault="00621DA1" w:rsidP="00131656">
            <w:pPr>
              <w:spacing w:after="0" w:line="240" w:lineRule="auto"/>
              <w:rPr>
                <w:rFonts w:eastAsia="Times New Roman" w:cstheme="minorHAnsi"/>
              </w:rPr>
            </w:pPr>
          </w:p>
        </w:tc>
      </w:tr>
      <w:tr w:rsidR="00621DA1" w:rsidRPr="0049791A" w14:paraId="293F7AF1" w14:textId="77777777" w:rsidTr="00131656">
        <w:trPr>
          <w:trHeight w:val="287"/>
        </w:trPr>
        <w:tc>
          <w:tcPr>
            <w:tcW w:w="4590" w:type="dxa"/>
          </w:tcPr>
          <w:p w14:paraId="7DCBCA69" w14:textId="72C36F19" w:rsidR="00621DA1" w:rsidRPr="0049791A" w:rsidRDefault="00B47006" w:rsidP="00131656">
            <w:pPr>
              <w:spacing w:after="0" w:line="240" w:lineRule="auto"/>
              <w:rPr>
                <w:rFonts w:eastAsia="Times New Roman" w:cstheme="minorHAnsi"/>
              </w:rPr>
            </w:pPr>
            <w:r w:rsidRPr="00B47006">
              <w:rPr>
                <w:rFonts w:eastAsia="Times New Roman" w:cstheme="minorHAnsi"/>
              </w:rPr>
              <w:t>Monnaie de cotation préférée</w:t>
            </w:r>
          </w:p>
        </w:tc>
        <w:tc>
          <w:tcPr>
            <w:tcW w:w="6120" w:type="dxa"/>
          </w:tcPr>
          <w:p w14:paraId="0E212971" w14:textId="27F5833C" w:rsidR="00621DA1" w:rsidRPr="0049791A" w:rsidRDefault="00B47006" w:rsidP="00131656">
            <w:pPr>
              <w:spacing w:after="0" w:line="240" w:lineRule="auto"/>
              <w:rPr>
                <w:rFonts w:eastAsia="Times New Roman" w:cstheme="minorHAnsi"/>
              </w:rPr>
            </w:pPr>
            <w:r w:rsidRPr="00B47006">
              <w:rPr>
                <w:rFonts w:eastAsia="Times New Roman" w:cstheme="minorHAnsi"/>
                <w:b/>
              </w:rPr>
              <w:t>Dollars américains</w:t>
            </w:r>
          </w:p>
        </w:tc>
      </w:tr>
      <w:tr w:rsidR="00621DA1" w:rsidRPr="0049791A" w14:paraId="247CB72D" w14:textId="77777777" w:rsidTr="00131656">
        <w:trPr>
          <w:cantSplit/>
          <w:trHeight w:val="80"/>
        </w:trPr>
        <w:tc>
          <w:tcPr>
            <w:tcW w:w="4590" w:type="dxa"/>
          </w:tcPr>
          <w:p w14:paraId="035C2D72" w14:textId="47539355" w:rsidR="00621DA1" w:rsidRPr="0049791A" w:rsidRDefault="00B47006" w:rsidP="00131656">
            <w:pPr>
              <w:spacing w:line="240" w:lineRule="auto"/>
              <w:rPr>
                <w:rFonts w:eastAsia="Times New Roman" w:cstheme="minorHAnsi"/>
              </w:rPr>
            </w:pPr>
            <w:r w:rsidRPr="00B47006">
              <w:rPr>
                <w:rFonts w:eastAsia="Times New Roman" w:cstheme="minorHAnsi"/>
              </w:rPr>
              <w:t>Garantie</w:t>
            </w:r>
          </w:p>
        </w:tc>
        <w:tc>
          <w:tcPr>
            <w:tcW w:w="6120" w:type="dxa"/>
            <w:shd w:val="clear" w:color="auto" w:fill="auto"/>
          </w:tcPr>
          <w:p w14:paraId="0248233E" w14:textId="28C2D5AD" w:rsidR="00621DA1" w:rsidRPr="0049791A" w:rsidRDefault="00B47006" w:rsidP="00131656">
            <w:pPr>
              <w:spacing w:line="240" w:lineRule="auto"/>
              <w:rPr>
                <w:rFonts w:eastAsia="Times New Roman" w:cstheme="minorHAnsi"/>
              </w:rPr>
            </w:pPr>
            <w:r w:rsidRPr="00B47006">
              <w:rPr>
                <w:rFonts w:eastAsia="Times New Roman" w:cstheme="minorHAnsi"/>
              </w:rPr>
              <w:t>Variable (voir annexe B)</w:t>
            </w:r>
          </w:p>
        </w:tc>
      </w:tr>
      <w:tr w:rsidR="00621DA1" w:rsidRPr="0049791A" w14:paraId="0C1C52C8" w14:textId="77777777" w:rsidTr="00131656">
        <w:trPr>
          <w:cantSplit/>
          <w:trHeight w:val="242"/>
        </w:trPr>
        <w:tc>
          <w:tcPr>
            <w:tcW w:w="4590" w:type="dxa"/>
          </w:tcPr>
          <w:p w14:paraId="5F8BEEEC" w14:textId="312404DE" w:rsidR="00621DA1" w:rsidRPr="0049791A" w:rsidRDefault="00B47006" w:rsidP="00131656">
            <w:pPr>
              <w:spacing w:after="0" w:line="240" w:lineRule="auto"/>
              <w:rPr>
                <w:rFonts w:eastAsia="Times New Roman" w:cstheme="minorHAnsi"/>
              </w:rPr>
            </w:pPr>
            <w:r w:rsidRPr="00B47006">
              <w:rPr>
                <w:rFonts w:eastAsia="Times New Roman" w:cstheme="minorHAnsi"/>
              </w:rPr>
              <w:t>Date limite de soumission des offres</w:t>
            </w:r>
          </w:p>
        </w:tc>
        <w:tc>
          <w:tcPr>
            <w:tcW w:w="6120" w:type="dxa"/>
          </w:tcPr>
          <w:p w14:paraId="1659BFB5" w14:textId="4FA02F91" w:rsidR="00621DA1" w:rsidRPr="0049791A" w:rsidRDefault="00B47006" w:rsidP="00131656">
            <w:pPr>
              <w:spacing w:after="0" w:line="240" w:lineRule="auto"/>
              <w:rPr>
                <w:rFonts w:eastAsia="Times New Roman" w:cstheme="minorHAnsi"/>
                <w:b/>
                <w:color w:val="000000"/>
              </w:rPr>
            </w:pPr>
            <w:r w:rsidRPr="00B47006">
              <w:rPr>
                <w:rFonts w:eastAsia="Times New Roman" w:cstheme="minorHAnsi"/>
                <w:b/>
                <w:color w:val="000000"/>
              </w:rPr>
              <w:t>Date de clôture ci-dessus</w:t>
            </w:r>
          </w:p>
        </w:tc>
      </w:tr>
      <w:tr w:rsidR="00621DA1" w:rsidRPr="0049791A" w14:paraId="276ED974" w14:textId="77777777" w:rsidTr="00131656">
        <w:tc>
          <w:tcPr>
            <w:tcW w:w="4590" w:type="dxa"/>
          </w:tcPr>
          <w:p w14:paraId="35A075D5" w14:textId="67E55525" w:rsidR="00621DA1" w:rsidRPr="0049791A" w:rsidRDefault="00B47006" w:rsidP="00131656">
            <w:pPr>
              <w:spacing w:after="0" w:line="240" w:lineRule="auto"/>
              <w:rPr>
                <w:rFonts w:eastAsia="Times New Roman" w:cstheme="minorHAnsi"/>
              </w:rPr>
            </w:pPr>
            <w:r w:rsidRPr="00B47006">
              <w:rPr>
                <w:rFonts w:eastAsia="Times New Roman" w:cstheme="minorHAnsi"/>
              </w:rPr>
              <w:t>Tous les documents, y compris les catalogues, les instructions et les manuels d'utilisation, doivent être rédigés dans cette langue.</w:t>
            </w:r>
          </w:p>
        </w:tc>
        <w:tc>
          <w:tcPr>
            <w:tcW w:w="6120" w:type="dxa"/>
          </w:tcPr>
          <w:p w14:paraId="7C4CC001" w14:textId="3A22DC1C" w:rsidR="00621DA1" w:rsidRPr="0049791A" w:rsidRDefault="00B47006" w:rsidP="00131656">
            <w:pPr>
              <w:spacing w:after="0" w:line="240" w:lineRule="auto"/>
              <w:rPr>
                <w:rFonts w:eastAsia="Times New Roman" w:cstheme="minorHAnsi"/>
              </w:rPr>
            </w:pPr>
            <w:r w:rsidRPr="00B47006">
              <w:rPr>
                <w:rFonts w:eastAsia="Times New Roman"/>
                <w:b/>
                <w:bCs/>
              </w:rPr>
              <w:t>Anglais</w:t>
            </w:r>
          </w:p>
        </w:tc>
      </w:tr>
      <w:tr w:rsidR="00621DA1" w:rsidRPr="000E7502" w14:paraId="0EF9B2B4" w14:textId="77777777" w:rsidTr="00131656">
        <w:trPr>
          <w:trHeight w:val="70"/>
        </w:trPr>
        <w:tc>
          <w:tcPr>
            <w:tcW w:w="4590" w:type="dxa"/>
          </w:tcPr>
          <w:p w14:paraId="252D3EDB" w14:textId="7BBD8D6A" w:rsidR="00621DA1" w:rsidRPr="000E7502" w:rsidRDefault="000E7502" w:rsidP="00131656">
            <w:pPr>
              <w:spacing w:after="0" w:line="240" w:lineRule="auto"/>
              <w:rPr>
                <w:rFonts w:eastAsia="Times New Roman" w:cstheme="minorHAnsi"/>
              </w:rPr>
            </w:pPr>
            <w:r w:rsidRPr="000E7502">
              <w:rPr>
                <w:rFonts w:eastAsia="Times New Roman" w:cstheme="minorHAnsi"/>
              </w:rPr>
              <w:t xml:space="preserve">Documents à Soumettre </w:t>
            </w:r>
          </w:p>
          <w:p w14:paraId="53D130F2" w14:textId="77777777" w:rsidR="00621DA1" w:rsidRPr="0049791A" w:rsidRDefault="00621DA1" w:rsidP="00131656">
            <w:pPr>
              <w:spacing w:after="0" w:line="240" w:lineRule="auto"/>
              <w:rPr>
                <w:rFonts w:eastAsia="Times New Roman" w:cstheme="minorHAnsi"/>
                <w:b/>
                <w:bCs/>
              </w:rPr>
            </w:pPr>
          </w:p>
          <w:p w14:paraId="1B4FA881" w14:textId="77777777" w:rsidR="00621DA1" w:rsidRPr="0049791A" w:rsidRDefault="00621DA1" w:rsidP="00131656">
            <w:pPr>
              <w:spacing w:after="0" w:line="240" w:lineRule="auto"/>
              <w:rPr>
                <w:rFonts w:eastAsia="Times New Roman" w:cstheme="minorHAnsi"/>
                <w:b/>
                <w:bCs/>
              </w:rPr>
            </w:pPr>
          </w:p>
          <w:p w14:paraId="5A00289D" w14:textId="77777777" w:rsidR="00621DA1" w:rsidRPr="0049791A" w:rsidRDefault="00621DA1" w:rsidP="00131656">
            <w:pPr>
              <w:spacing w:after="0" w:line="240" w:lineRule="auto"/>
              <w:rPr>
                <w:rFonts w:eastAsia="Times New Roman" w:cstheme="minorHAnsi"/>
                <w:b/>
                <w:bCs/>
              </w:rPr>
            </w:pPr>
          </w:p>
          <w:p w14:paraId="53230160" w14:textId="77777777" w:rsidR="00621DA1" w:rsidRPr="0049791A" w:rsidRDefault="00621DA1" w:rsidP="00131656">
            <w:pPr>
              <w:spacing w:after="0" w:line="240" w:lineRule="auto"/>
              <w:rPr>
                <w:rFonts w:eastAsia="Times New Roman" w:cstheme="minorHAnsi"/>
                <w:b/>
                <w:bCs/>
              </w:rPr>
            </w:pPr>
          </w:p>
          <w:p w14:paraId="00F8A0C3" w14:textId="77777777" w:rsidR="00621DA1" w:rsidRPr="0049791A" w:rsidRDefault="00621DA1" w:rsidP="00131656">
            <w:pPr>
              <w:spacing w:after="0" w:line="240" w:lineRule="auto"/>
              <w:rPr>
                <w:rFonts w:eastAsia="Times New Roman" w:cstheme="minorHAnsi"/>
                <w:b/>
                <w:bCs/>
              </w:rPr>
            </w:pPr>
          </w:p>
        </w:tc>
        <w:tc>
          <w:tcPr>
            <w:tcW w:w="6120" w:type="dxa"/>
          </w:tcPr>
          <w:p w14:paraId="5BDB906A" w14:textId="16B146D8" w:rsidR="000E7502" w:rsidRPr="000E7502" w:rsidRDefault="000E7502" w:rsidP="000E7502">
            <w:pPr>
              <w:numPr>
                <w:ilvl w:val="0"/>
                <w:numId w:val="3"/>
              </w:numPr>
              <w:tabs>
                <w:tab w:val="left" w:pos="-14"/>
              </w:tabs>
              <w:spacing w:after="0" w:line="240" w:lineRule="auto"/>
              <w:contextualSpacing/>
              <w:rPr>
                <w:rFonts w:eastAsia="Times New Roman" w:cstheme="minorHAnsi"/>
                <w:iCs/>
                <w:lang w:val="fr-CA"/>
              </w:rPr>
            </w:pPr>
            <w:r w:rsidRPr="000E7502">
              <w:rPr>
                <w:rFonts w:eastAsia="Times New Roman" w:cstheme="minorHAnsi"/>
                <w:iCs/>
                <w:lang w:val="fr-CA"/>
              </w:rPr>
              <w:t>Annexe A et Annexe B complétées</w:t>
            </w:r>
          </w:p>
          <w:p w14:paraId="62E53A47" w14:textId="65334FEE" w:rsidR="00621DA1" w:rsidRPr="000E7502" w:rsidDel="00F84374" w:rsidRDefault="000E7502" w:rsidP="000E7502">
            <w:pPr>
              <w:numPr>
                <w:ilvl w:val="0"/>
                <w:numId w:val="3"/>
              </w:numPr>
              <w:tabs>
                <w:tab w:val="left" w:pos="-14"/>
              </w:tabs>
              <w:spacing w:after="0" w:line="240" w:lineRule="auto"/>
              <w:contextualSpacing/>
              <w:rPr>
                <w:rFonts w:eastAsia="Times New Roman" w:cstheme="minorHAnsi"/>
                <w:iCs/>
                <w:lang w:val="fr-CA"/>
              </w:rPr>
            </w:pPr>
            <w:r w:rsidRPr="000E7502">
              <w:rPr>
                <w:rFonts w:eastAsia="Times New Roman" w:cstheme="minorHAnsi"/>
                <w:iCs/>
                <w:lang w:val="fr-CA"/>
              </w:rPr>
              <w:t>Documents juridiques (enregistrement commercial et autorisation fiscale) permettant d'opérer dans le pays d'origine, applicables aux fournisseurs locaux et internationaux. Veuillez fournir une traduction si les documents ne sont pas en anglais.</w:t>
            </w:r>
          </w:p>
        </w:tc>
      </w:tr>
      <w:tr w:rsidR="00621DA1" w:rsidRPr="000E7502" w14:paraId="1B4C38A9" w14:textId="77777777" w:rsidTr="00131656">
        <w:trPr>
          <w:trHeight w:val="440"/>
        </w:trPr>
        <w:tc>
          <w:tcPr>
            <w:tcW w:w="4590" w:type="dxa"/>
          </w:tcPr>
          <w:p w14:paraId="1C494F00" w14:textId="6D6FF958" w:rsidR="00621DA1" w:rsidRPr="0049791A" w:rsidRDefault="000E7502" w:rsidP="00131656">
            <w:pPr>
              <w:spacing w:after="0" w:line="240" w:lineRule="auto"/>
              <w:rPr>
                <w:rFonts w:eastAsia="Times New Roman" w:cstheme="minorHAnsi"/>
              </w:rPr>
            </w:pPr>
            <w:r w:rsidRPr="000E7502">
              <w:rPr>
                <w:rFonts w:eastAsia="Times New Roman" w:cstheme="minorHAnsi"/>
              </w:rPr>
              <w:lastRenderedPageBreak/>
              <w:t>Conditions de Paiement</w:t>
            </w:r>
          </w:p>
        </w:tc>
        <w:tc>
          <w:tcPr>
            <w:tcW w:w="6120" w:type="dxa"/>
          </w:tcPr>
          <w:p w14:paraId="436881E6" w14:textId="4D10E430" w:rsidR="00621DA1" w:rsidRPr="000E7502" w:rsidRDefault="000E7502" w:rsidP="00131656">
            <w:pPr>
              <w:spacing w:after="0" w:line="240" w:lineRule="auto"/>
              <w:rPr>
                <w:rFonts w:eastAsia="Times New Roman" w:cstheme="minorHAnsi"/>
                <w:lang w:val="fr-CA"/>
              </w:rPr>
            </w:pPr>
            <w:r w:rsidRPr="000E7502">
              <w:rPr>
                <w:rFonts w:eastAsia="Times New Roman" w:cstheme="minorHAnsi"/>
                <w:lang w:val="fr-CA"/>
              </w:rPr>
              <w:t>100 % après fourniture et inspection de préférence, mais d'autres conditions peuvent être négociées.</w:t>
            </w:r>
          </w:p>
        </w:tc>
      </w:tr>
      <w:tr w:rsidR="00621DA1" w:rsidRPr="000E7502" w14:paraId="1FFEF75B" w14:textId="77777777" w:rsidTr="00131656">
        <w:trPr>
          <w:cantSplit/>
          <w:trHeight w:val="460"/>
        </w:trPr>
        <w:tc>
          <w:tcPr>
            <w:tcW w:w="4590" w:type="dxa"/>
          </w:tcPr>
          <w:p w14:paraId="562678A5" w14:textId="686182FE" w:rsidR="00621DA1" w:rsidRPr="0049791A" w:rsidRDefault="000E7502" w:rsidP="00131656">
            <w:pPr>
              <w:spacing w:after="0" w:line="240" w:lineRule="auto"/>
              <w:rPr>
                <w:rFonts w:eastAsia="Times New Roman" w:cstheme="minorHAnsi"/>
              </w:rPr>
            </w:pPr>
            <w:r w:rsidRPr="000E7502">
              <w:rPr>
                <w:rFonts w:eastAsia="Times New Roman" w:cstheme="minorHAnsi"/>
              </w:rPr>
              <w:t>Dommages-Intérêts</w:t>
            </w:r>
          </w:p>
        </w:tc>
        <w:tc>
          <w:tcPr>
            <w:tcW w:w="6120" w:type="dxa"/>
          </w:tcPr>
          <w:p w14:paraId="1CEF3633" w14:textId="53BADA75" w:rsidR="00621DA1" w:rsidRPr="000E7502" w:rsidRDefault="000E7502" w:rsidP="00131656">
            <w:pPr>
              <w:spacing w:after="0" w:line="240" w:lineRule="auto"/>
              <w:rPr>
                <w:rFonts w:eastAsia="Times New Roman" w:cstheme="minorHAnsi"/>
                <w:lang w:val="fr-CA"/>
              </w:rPr>
            </w:pPr>
            <w:r w:rsidRPr="000E7502">
              <w:rPr>
                <w:rFonts w:eastAsia="Times New Roman" w:cstheme="minorHAnsi"/>
                <w:lang w:val="fr-CA"/>
              </w:rPr>
              <w:t>1 % du montant total du contrat pour chaque jour de retard, avec un maximum de 30 jours, après quoi le contrat sera résilié.</w:t>
            </w:r>
          </w:p>
        </w:tc>
      </w:tr>
      <w:tr w:rsidR="00621DA1" w:rsidRPr="000E7502" w14:paraId="43190279" w14:textId="77777777" w:rsidTr="00131656">
        <w:trPr>
          <w:cantSplit/>
          <w:trHeight w:val="1052"/>
        </w:trPr>
        <w:tc>
          <w:tcPr>
            <w:tcW w:w="4590" w:type="dxa"/>
          </w:tcPr>
          <w:p w14:paraId="136413B6" w14:textId="00FBBB57" w:rsidR="00621DA1" w:rsidRPr="0049791A" w:rsidRDefault="000E7502" w:rsidP="00131656">
            <w:pPr>
              <w:spacing w:after="0" w:line="240" w:lineRule="auto"/>
              <w:rPr>
                <w:rFonts w:eastAsia="Times New Roman" w:cstheme="minorHAnsi"/>
              </w:rPr>
            </w:pPr>
            <w:r w:rsidRPr="000E7502">
              <w:rPr>
                <w:rFonts w:eastAsia="Times New Roman" w:cstheme="minorHAnsi"/>
              </w:rPr>
              <w:t>Critères d'Évaluation</w:t>
            </w:r>
          </w:p>
          <w:p w14:paraId="0154E2B2" w14:textId="77777777" w:rsidR="00621DA1" w:rsidRPr="0049791A" w:rsidRDefault="00621DA1" w:rsidP="00131656">
            <w:pPr>
              <w:spacing w:after="0" w:line="240" w:lineRule="auto"/>
              <w:rPr>
                <w:rFonts w:eastAsia="Times New Roman" w:cstheme="minorHAnsi"/>
              </w:rPr>
            </w:pPr>
          </w:p>
          <w:p w14:paraId="30897545" w14:textId="77777777" w:rsidR="00621DA1" w:rsidRPr="0049791A" w:rsidRDefault="00621DA1" w:rsidP="00131656">
            <w:pPr>
              <w:spacing w:after="0" w:line="240" w:lineRule="auto"/>
              <w:rPr>
                <w:rFonts w:eastAsia="Times New Roman" w:cstheme="minorHAnsi"/>
              </w:rPr>
            </w:pPr>
          </w:p>
          <w:p w14:paraId="2464B129" w14:textId="77777777" w:rsidR="00621DA1" w:rsidRPr="0049791A" w:rsidRDefault="00621DA1" w:rsidP="00131656">
            <w:pPr>
              <w:spacing w:after="0" w:line="240" w:lineRule="auto"/>
              <w:rPr>
                <w:rFonts w:eastAsia="Times New Roman" w:cstheme="minorHAnsi"/>
              </w:rPr>
            </w:pPr>
          </w:p>
        </w:tc>
        <w:tc>
          <w:tcPr>
            <w:tcW w:w="6120" w:type="dxa"/>
          </w:tcPr>
          <w:p w14:paraId="3EDBFCA9" w14:textId="6079D7A8" w:rsidR="000E7502" w:rsidRPr="000E7502" w:rsidRDefault="000E7502" w:rsidP="000E7502">
            <w:pPr>
              <w:numPr>
                <w:ilvl w:val="0"/>
                <w:numId w:val="2"/>
              </w:numPr>
              <w:spacing w:after="0" w:line="240" w:lineRule="auto"/>
              <w:ind w:left="436" w:hanging="180"/>
              <w:contextualSpacing/>
              <w:rPr>
                <w:rFonts w:eastAsia="Times New Roman" w:cstheme="minorHAnsi"/>
                <w:lang w:val="fr-CA"/>
              </w:rPr>
            </w:pPr>
            <w:r>
              <w:rPr>
                <w:rFonts w:eastAsia="Times New Roman" w:cstheme="minorHAnsi"/>
                <w:lang w:val="fr-CA"/>
              </w:rPr>
              <w:t xml:space="preserve">Réactivité </w:t>
            </w:r>
            <w:r w:rsidRPr="000E7502">
              <w:rPr>
                <w:rFonts w:eastAsia="Times New Roman" w:cstheme="minorHAnsi"/>
                <w:lang w:val="fr-CA"/>
              </w:rPr>
              <w:t>technique/conformité totale aux exigences et prix le plus bas selon l'évaluation.</w:t>
            </w:r>
          </w:p>
          <w:p w14:paraId="1878A84D" w14:textId="03C1DD1D" w:rsidR="000E7502" w:rsidRPr="000E7502" w:rsidRDefault="000E7502" w:rsidP="000E7502">
            <w:pPr>
              <w:numPr>
                <w:ilvl w:val="0"/>
                <w:numId w:val="2"/>
              </w:numPr>
              <w:spacing w:after="0" w:line="240" w:lineRule="auto"/>
              <w:ind w:left="436" w:hanging="180"/>
              <w:contextualSpacing/>
              <w:rPr>
                <w:rFonts w:eastAsia="Times New Roman" w:cstheme="minorHAnsi"/>
              </w:rPr>
            </w:pPr>
            <w:r w:rsidRPr="000E7502">
              <w:rPr>
                <w:rFonts w:eastAsia="Times New Roman" w:cstheme="minorHAnsi"/>
              </w:rPr>
              <w:t>Délai de livraison</w:t>
            </w:r>
          </w:p>
          <w:p w14:paraId="3797515C" w14:textId="6D90341A" w:rsidR="00621DA1" w:rsidRPr="000E7502" w:rsidRDefault="000E7502" w:rsidP="000E7502">
            <w:pPr>
              <w:numPr>
                <w:ilvl w:val="0"/>
                <w:numId w:val="2"/>
              </w:numPr>
              <w:spacing w:after="0" w:line="240" w:lineRule="auto"/>
              <w:ind w:left="436" w:hanging="180"/>
              <w:contextualSpacing/>
              <w:rPr>
                <w:rFonts w:eastAsia="Times New Roman" w:cstheme="minorHAnsi"/>
                <w:lang w:val="fr-CA"/>
              </w:rPr>
            </w:pPr>
            <w:r w:rsidRPr="000E7502">
              <w:rPr>
                <w:rFonts w:eastAsia="Times New Roman" w:cstheme="minorHAnsi"/>
                <w:lang w:val="fr-CA"/>
              </w:rPr>
              <w:t>Acceptation totale de la commande/du contrat</w:t>
            </w:r>
          </w:p>
        </w:tc>
      </w:tr>
      <w:tr w:rsidR="00621DA1" w:rsidRPr="000E7502" w14:paraId="66BE3F99" w14:textId="77777777" w:rsidTr="00131656">
        <w:tblPrEx>
          <w:tblLook w:val="04A0" w:firstRow="1" w:lastRow="0" w:firstColumn="1" w:lastColumn="0" w:noHBand="0" w:noVBand="1"/>
        </w:tblPrEx>
        <w:tc>
          <w:tcPr>
            <w:tcW w:w="4590" w:type="dxa"/>
          </w:tcPr>
          <w:p w14:paraId="3180C3CF" w14:textId="54C35EFB" w:rsidR="00621DA1" w:rsidRPr="000E7502" w:rsidRDefault="000E7502" w:rsidP="00131656">
            <w:pPr>
              <w:spacing w:after="0" w:line="240" w:lineRule="auto"/>
              <w:rPr>
                <w:rFonts w:eastAsia="Times New Roman" w:cstheme="minorHAnsi"/>
                <w:bCs/>
                <w:lang w:val="fr-CA"/>
              </w:rPr>
            </w:pPr>
            <w:r w:rsidRPr="000E7502">
              <w:rPr>
                <w:rFonts w:eastAsia="Times New Roman" w:cstheme="minorHAnsi"/>
                <w:bCs/>
                <w:lang w:val="fr-CA"/>
              </w:rPr>
              <w:t>Type de Contrat à Signer</w:t>
            </w:r>
          </w:p>
        </w:tc>
        <w:tc>
          <w:tcPr>
            <w:tcW w:w="6120" w:type="dxa"/>
          </w:tcPr>
          <w:p w14:paraId="33E4AC99" w14:textId="2D8F1FA9" w:rsidR="00621DA1" w:rsidRPr="000E7502" w:rsidRDefault="000E7502" w:rsidP="00131656">
            <w:pPr>
              <w:spacing w:after="0" w:line="240" w:lineRule="auto"/>
              <w:rPr>
                <w:rFonts w:eastAsia="Times New Roman" w:cstheme="minorHAnsi"/>
                <w:snapToGrid w:val="0"/>
                <w:lang w:val="fr-CA"/>
              </w:rPr>
            </w:pPr>
            <w:r w:rsidRPr="000E7502">
              <w:rPr>
                <w:rFonts w:eastAsia="Times New Roman" w:cstheme="minorHAnsi"/>
                <w:snapToGrid w:val="0"/>
                <w:lang w:val="fr-CA"/>
              </w:rPr>
              <w:t>Bon de commande. L’aide au financement du capital sera négociée en fonction du type d’aide demandée.</w:t>
            </w:r>
          </w:p>
        </w:tc>
      </w:tr>
      <w:tr w:rsidR="00621DA1" w:rsidRPr="000E7502" w14:paraId="7660F25E" w14:textId="77777777" w:rsidTr="00131656">
        <w:tc>
          <w:tcPr>
            <w:tcW w:w="4590" w:type="dxa"/>
          </w:tcPr>
          <w:p w14:paraId="2B9ABE81" w14:textId="6F97DC4A" w:rsidR="00621DA1" w:rsidRPr="0049791A" w:rsidRDefault="000E7502" w:rsidP="00131656">
            <w:pPr>
              <w:spacing w:after="0" w:line="240" w:lineRule="auto"/>
              <w:rPr>
                <w:rFonts w:eastAsia="Times New Roman" w:cstheme="minorHAnsi"/>
              </w:rPr>
            </w:pPr>
            <w:r w:rsidRPr="000E7502">
              <w:rPr>
                <w:rFonts w:eastAsia="Times New Roman" w:cstheme="minorHAnsi"/>
              </w:rPr>
              <w:t>Conditions Particulières du Contrat</w:t>
            </w:r>
          </w:p>
        </w:tc>
        <w:tc>
          <w:tcPr>
            <w:tcW w:w="6120" w:type="dxa"/>
          </w:tcPr>
          <w:p w14:paraId="6A8B203F" w14:textId="00303C2F" w:rsidR="00621DA1" w:rsidRPr="000E7502" w:rsidRDefault="000E7502" w:rsidP="00131656">
            <w:pPr>
              <w:spacing w:after="0" w:line="240" w:lineRule="auto"/>
              <w:rPr>
                <w:rFonts w:eastAsia="Times New Roman" w:cstheme="minorHAnsi"/>
                <w:snapToGrid w:val="0"/>
                <w:color w:val="000000"/>
                <w:lang w:val="fr-CA"/>
              </w:rPr>
            </w:pPr>
            <w:r w:rsidRPr="000E7502">
              <w:rPr>
                <w:rFonts w:eastAsia="Times New Roman" w:cstheme="minorHAnsi"/>
                <w:snapToGrid w:val="0"/>
                <w:color w:val="000000"/>
                <w:lang w:val="fr-CA"/>
              </w:rPr>
              <w:t>Le non-respect de la date de livraison indiquée constitue un motif d'annulation. La garantie de l'offre, si elle a été soumise avec l'offre, sera perdue, le cas échéant. CHAI se réserve le droit de sélectionner un seul fournisseur ou une combinaison de fournisseu</w:t>
            </w:r>
            <w:r>
              <w:rPr>
                <w:rFonts w:eastAsia="Times New Roman" w:cstheme="minorHAnsi"/>
                <w:snapToGrid w:val="0"/>
                <w:color w:val="000000"/>
                <w:lang w:val="fr-CA"/>
              </w:rPr>
              <w:t>rs</w:t>
            </w:r>
          </w:p>
        </w:tc>
      </w:tr>
      <w:tr w:rsidR="00621DA1" w:rsidRPr="0049791A" w14:paraId="5D2915EA" w14:textId="77777777" w:rsidTr="00131656">
        <w:tc>
          <w:tcPr>
            <w:tcW w:w="4590" w:type="dxa"/>
          </w:tcPr>
          <w:p w14:paraId="003EE60E" w14:textId="5595FEE1" w:rsidR="00621DA1" w:rsidRPr="0049791A" w:rsidRDefault="000E7502" w:rsidP="00131656">
            <w:pPr>
              <w:spacing w:after="0" w:line="240" w:lineRule="auto"/>
              <w:rPr>
                <w:rFonts w:eastAsia="Times New Roman" w:cstheme="minorHAnsi"/>
              </w:rPr>
            </w:pPr>
            <w:r w:rsidRPr="000E7502">
              <w:rPr>
                <w:rFonts w:eastAsia="Times New Roman" w:cstheme="minorHAnsi"/>
              </w:rPr>
              <w:t>Validité de la Proposition</w:t>
            </w:r>
          </w:p>
        </w:tc>
        <w:tc>
          <w:tcPr>
            <w:tcW w:w="6120" w:type="dxa"/>
          </w:tcPr>
          <w:p w14:paraId="080C5BC4" w14:textId="271FFA65" w:rsidR="00621DA1" w:rsidRPr="0049791A" w:rsidRDefault="00621DA1" w:rsidP="00131656">
            <w:pPr>
              <w:spacing w:after="0" w:line="240" w:lineRule="auto"/>
              <w:rPr>
                <w:rFonts w:eastAsia="Times New Roman" w:cstheme="minorHAnsi"/>
                <w:snapToGrid w:val="0"/>
              </w:rPr>
            </w:pPr>
            <w:r>
              <w:rPr>
                <w:rFonts w:eastAsia="Times New Roman" w:cstheme="minorHAnsi"/>
                <w:snapToGrid w:val="0"/>
              </w:rPr>
              <w:t>120</w:t>
            </w:r>
            <w:r w:rsidRPr="0049791A">
              <w:rPr>
                <w:rFonts w:eastAsia="Times New Roman" w:cstheme="minorHAnsi"/>
                <w:snapToGrid w:val="0"/>
              </w:rPr>
              <w:t xml:space="preserve"> </w:t>
            </w:r>
            <w:r w:rsidR="000E7502">
              <w:rPr>
                <w:rFonts w:eastAsia="Times New Roman" w:cstheme="minorHAnsi"/>
                <w:snapToGrid w:val="0"/>
              </w:rPr>
              <w:t>jours</w:t>
            </w:r>
          </w:p>
        </w:tc>
      </w:tr>
      <w:tr w:rsidR="00621DA1" w:rsidRPr="000E7502" w14:paraId="0709F005" w14:textId="77777777" w:rsidTr="00131656">
        <w:tc>
          <w:tcPr>
            <w:tcW w:w="4590" w:type="dxa"/>
          </w:tcPr>
          <w:p w14:paraId="0C3AA491" w14:textId="3F442DDF" w:rsidR="00621DA1" w:rsidRPr="000E7502" w:rsidDel="00163CAD" w:rsidRDefault="000E7502" w:rsidP="00131656">
            <w:pPr>
              <w:spacing w:after="0" w:line="240" w:lineRule="auto"/>
              <w:rPr>
                <w:rFonts w:eastAsia="Times New Roman" w:cstheme="minorHAnsi"/>
                <w:lang w:val="fr-CA"/>
              </w:rPr>
            </w:pPr>
            <w:r w:rsidRPr="000E7502">
              <w:rPr>
                <w:rFonts w:eastAsia="Times New Roman" w:cstheme="minorHAnsi"/>
                <w:lang w:val="fr-CA"/>
              </w:rPr>
              <w:t>Conditions de Libération du Paiement</w:t>
            </w:r>
          </w:p>
        </w:tc>
        <w:tc>
          <w:tcPr>
            <w:tcW w:w="6120" w:type="dxa"/>
          </w:tcPr>
          <w:p w14:paraId="07DC2CEA" w14:textId="2CB62D70" w:rsidR="000E7502" w:rsidRPr="000E7502" w:rsidRDefault="000E7502" w:rsidP="000E7502">
            <w:pPr>
              <w:spacing w:after="0" w:line="240" w:lineRule="auto"/>
              <w:rPr>
                <w:rFonts w:eastAsia="Times New Roman" w:cstheme="minorHAnsi"/>
                <w:lang w:val="fr-CA"/>
              </w:rPr>
            </w:pPr>
            <w:r w:rsidRPr="000E7502">
              <w:rPr>
                <w:rFonts w:eastAsia="Times New Roman" w:cstheme="minorHAnsi"/>
                <w:lang w:val="fr-CA"/>
              </w:rPr>
              <w:t>Inspection/vérification réussie des fournitures</w:t>
            </w:r>
          </w:p>
          <w:p w14:paraId="55ED2DFC" w14:textId="664F08BB" w:rsidR="00621DA1" w:rsidRPr="000E7502" w:rsidDel="00307F3E" w:rsidRDefault="000E7502" w:rsidP="000E7502">
            <w:pPr>
              <w:spacing w:after="0" w:line="240" w:lineRule="auto"/>
              <w:rPr>
                <w:rFonts w:eastAsia="Times New Roman" w:cstheme="minorHAnsi"/>
                <w:lang w:val="fr-CA"/>
              </w:rPr>
            </w:pPr>
            <w:r w:rsidRPr="000E7502">
              <w:rPr>
                <w:rFonts w:eastAsia="Times New Roman" w:cstheme="minorHAnsi"/>
                <w:lang w:val="fr-CA"/>
              </w:rPr>
              <w:t>Acceptation écrite des marchandises sur la base d'une conformité totale aux exigences du RFQ par l'utilisateur final</w:t>
            </w:r>
          </w:p>
        </w:tc>
      </w:tr>
      <w:tr w:rsidR="00621DA1" w:rsidRPr="000E7502" w14:paraId="42DB8B9C" w14:textId="77777777" w:rsidTr="00131656">
        <w:trPr>
          <w:cantSplit/>
          <w:trHeight w:val="460"/>
        </w:trPr>
        <w:tc>
          <w:tcPr>
            <w:tcW w:w="4590" w:type="dxa"/>
          </w:tcPr>
          <w:p w14:paraId="2349B0A2" w14:textId="17A8F55E" w:rsidR="00621DA1" w:rsidRPr="000E7502" w:rsidRDefault="000E7502" w:rsidP="00131656">
            <w:pPr>
              <w:spacing w:after="0" w:line="240" w:lineRule="auto"/>
              <w:rPr>
                <w:rFonts w:eastAsia="Times New Roman" w:cstheme="minorHAnsi"/>
                <w:lang w:val="fr-CA"/>
              </w:rPr>
            </w:pPr>
            <w:r w:rsidRPr="000E7502">
              <w:rPr>
                <w:rFonts w:eastAsia="Times New Roman" w:cstheme="minorHAnsi"/>
                <w:lang w:val="fr-CA"/>
              </w:rPr>
              <w:t>Annexes au Présent Appel d'Offres</w:t>
            </w:r>
          </w:p>
        </w:tc>
        <w:tc>
          <w:tcPr>
            <w:tcW w:w="6120" w:type="dxa"/>
          </w:tcPr>
          <w:p w14:paraId="5D09EEE5" w14:textId="095E81B0" w:rsidR="00621DA1" w:rsidRPr="000E7502" w:rsidRDefault="00621DA1" w:rsidP="00131656">
            <w:pPr>
              <w:spacing w:after="0" w:line="240" w:lineRule="auto"/>
              <w:rPr>
                <w:rFonts w:eastAsia="Times New Roman" w:cstheme="minorHAnsi"/>
                <w:lang w:val="fr-CA"/>
              </w:rPr>
            </w:pPr>
            <w:r w:rsidRPr="000E7502">
              <w:rPr>
                <w:rFonts w:ascii="Segoe UI Symbol" w:eastAsia="MS Gothic" w:hAnsi="Segoe UI Symbol" w:cs="Segoe UI Symbol"/>
                <w:lang w:val="fr-CA"/>
              </w:rPr>
              <w:t>☑</w:t>
            </w:r>
            <w:r w:rsidR="000E7502" w:rsidRPr="000E7502">
              <w:rPr>
                <w:rFonts w:ascii="Segoe UI Symbol" w:eastAsia="MS Gothic" w:hAnsi="Segoe UI Symbol" w:cs="Segoe UI Symbol"/>
                <w:lang w:val="fr-CA"/>
              </w:rPr>
              <w:t xml:space="preserve"> </w:t>
            </w:r>
            <w:r w:rsidR="00C41940" w:rsidRPr="000E7502">
              <w:rPr>
                <w:rFonts w:eastAsia="MS Gothic" w:cstheme="minorHAnsi"/>
                <w:lang w:val="fr-CA"/>
              </w:rPr>
              <w:t>Quantités</w:t>
            </w:r>
            <w:r w:rsidR="000E7502" w:rsidRPr="000E7502">
              <w:rPr>
                <w:rFonts w:eastAsia="MS Gothic" w:cstheme="minorHAnsi"/>
                <w:lang w:val="fr-CA"/>
              </w:rPr>
              <w:t xml:space="preserve"> de produits et lieu de livraison</w:t>
            </w:r>
            <w:r w:rsidRPr="000E7502">
              <w:rPr>
                <w:rFonts w:eastAsia="Times New Roman" w:cstheme="minorHAnsi"/>
                <w:lang w:val="fr-CA"/>
              </w:rPr>
              <w:t xml:space="preserve"> </w:t>
            </w:r>
            <w:r w:rsidRPr="000E7502">
              <w:rPr>
                <w:rFonts w:eastAsia="Times New Roman" w:cstheme="minorHAnsi"/>
                <w:b/>
                <w:lang w:val="fr-CA"/>
              </w:rPr>
              <w:t>(Annex A)</w:t>
            </w:r>
          </w:p>
          <w:p w14:paraId="611EC24C" w14:textId="1969F09A" w:rsidR="00621DA1" w:rsidRPr="000E7502" w:rsidRDefault="00621DA1" w:rsidP="00131656">
            <w:pPr>
              <w:spacing w:after="0" w:line="240" w:lineRule="auto"/>
              <w:rPr>
                <w:rFonts w:eastAsia="Times New Roman" w:cstheme="minorHAnsi"/>
                <w:lang w:val="fr-CA"/>
              </w:rPr>
            </w:pPr>
            <w:r w:rsidRPr="000E7502">
              <w:rPr>
                <w:rFonts w:ascii="Segoe UI Symbol" w:eastAsia="MS Gothic" w:hAnsi="Segoe UI Symbol" w:cs="Segoe UI Symbol"/>
                <w:lang w:val="fr-CA"/>
              </w:rPr>
              <w:t>☑</w:t>
            </w:r>
            <w:r w:rsidRPr="000E7502">
              <w:rPr>
                <w:rFonts w:eastAsia="Times New Roman" w:cstheme="minorHAnsi"/>
                <w:lang w:val="fr-CA"/>
              </w:rPr>
              <w:t xml:space="preserve"> </w:t>
            </w:r>
            <w:r w:rsidR="00C40B64" w:rsidRPr="000E7502">
              <w:rPr>
                <w:rFonts w:eastAsia="Times New Roman" w:cstheme="minorHAnsi"/>
                <w:lang w:val="fr-CA"/>
              </w:rPr>
              <w:t>Spécification</w:t>
            </w:r>
            <w:r w:rsidR="000E7502" w:rsidRPr="000E7502">
              <w:rPr>
                <w:rFonts w:eastAsia="Times New Roman" w:cstheme="minorHAnsi"/>
                <w:lang w:val="fr-CA"/>
              </w:rPr>
              <w:t xml:space="preserve"> technique</w:t>
            </w:r>
            <w:r w:rsidRPr="000E7502">
              <w:rPr>
                <w:rFonts w:eastAsia="Times New Roman" w:cstheme="minorHAnsi"/>
                <w:lang w:val="fr-CA"/>
              </w:rPr>
              <w:t xml:space="preserve"> </w:t>
            </w:r>
            <w:r w:rsidRPr="000E7502">
              <w:rPr>
                <w:rFonts w:eastAsia="Times New Roman" w:cstheme="minorHAnsi"/>
                <w:b/>
                <w:lang w:val="fr-CA"/>
              </w:rPr>
              <w:t>(Annex B)</w:t>
            </w:r>
          </w:p>
          <w:p w14:paraId="7410C828" w14:textId="5E45DBCE" w:rsidR="00621DA1" w:rsidRPr="000E7502" w:rsidRDefault="00621DA1" w:rsidP="00131656">
            <w:pPr>
              <w:spacing w:after="0" w:line="240" w:lineRule="auto"/>
              <w:rPr>
                <w:rFonts w:eastAsia="Times New Roman" w:cstheme="minorHAnsi"/>
                <w:b/>
                <w:lang w:val="fr-CA"/>
              </w:rPr>
            </w:pPr>
            <w:r w:rsidRPr="000E7502">
              <w:rPr>
                <w:rFonts w:ascii="Segoe UI Symbol" w:eastAsia="MS Gothic" w:hAnsi="Segoe UI Symbol" w:cs="Segoe UI Symbol"/>
                <w:lang w:val="fr-CA"/>
              </w:rPr>
              <w:t>☑</w:t>
            </w:r>
            <w:r w:rsidRPr="000E7502">
              <w:rPr>
                <w:rFonts w:eastAsia="Times New Roman" w:cstheme="minorHAnsi"/>
                <w:lang w:val="fr-CA"/>
              </w:rPr>
              <w:t xml:space="preserve"> Code </w:t>
            </w:r>
            <w:r w:rsidR="000E7502" w:rsidRPr="000E7502">
              <w:rPr>
                <w:rFonts w:eastAsia="Times New Roman" w:cstheme="minorHAnsi"/>
                <w:lang w:val="fr-CA"/>
              </w:rPr>
              <w:t xml:space="preserve">de </w:t>
            </w:r>
            <w:r w:rsidRPr="000E7502">
              <w:rPr>
                <w:rFonts w:eastAsia="Times New Roman" w:cstheme="minorHAnsi"/>
                <w:lang w:val="fr-CA"/>
              </w:rPr>
              <w:t>condu</w:t>
            </w:r>
            <w:r w:rsidR="000E7502" w:rsidRPr="000E7502">
              <w:rPr>
                <w:rFonts w:eastAsia="Times New Roman" w:cstheme="minorHAnsi"/>
                <w:lang w:val="fr-CA"/>
              </w:rPr>
              <w:t>ite</w:t>
            </w:r>
            <w:r w:rsidRPr="000E7502">
              <w:rPr>
                <w:rFonts w:eastAsia="Times New Roman" w:cstheme="minorHAnsi"/>
                <w:lang w:val="fr-CA"/>
              </w:rPr>
              <w:t xml:space="preserve"> </w:t>
            </w:r>
            <w:r w:rsidRPr="000E7502">
              <w:rPr>
                <w:rFonts w:eastAsia="Times New Roman" w:cstheme="minorHAnsi"/>
                <w:b/>
                <w:lang w:val="fr-CA"/>
              </w:rPr>
              <w:t>(Annex C)</w:t>
            </w:r>
          </w:p>
        </w:tc>
      </w:tr>
      <w:tr w:rsidR="00621DA1" w:rsidRPr="000E7502" w14:paraId="0F18D6D0" w14:textId="77777777" w:rsidTr="00131656">
        <w:trPr>
          <w:cantSplit/>
          <w:trHeight w:val="630"/>
        </w:trPr>
        <w:tc>
          <w:tcPr>
            <w:tcW w:w="4590" w:type="dxa"/>
          </w:tcPr>
          <w:p w14:paraId="211865F0" w14:textId="1010685A" w:rsidR="00621DA1" w:rsidRPr="000E7502" w:rsidRDefault="000E7502" w:rsidP="00131656">
            <w:pPr>
              <w:spacing w:after="0" w:line="240" w:lineRule="auto"/>
              <w:rPr>
                <w:rFonts w:eastAsia="Times New Roman" w:cstheme="minorHAnsi"/>
                <w:lang w:val="fr-CA"/>
              </w:rPr>
            </w:pPr>
            <w:r w:rsidRPr="000E7502">
              <w:rPr>
                <w:rFonts w:eastAsia="Times New Roman" w:cstheme="minorHAnsi"/>
                <w:lang w:val="fr-CA"/>
              </w:rPr>
              <w:t>Personne à Contacter pour les Demandes de Renseignements (Demandes Écrites Uniquement)</w:t>
            </w:r>
          </w:p>
        </w:tc>
        <w:tc>
          <w:tcPr>
            <w:tcW w:w="6120" w:type="dxa"/>
          </w:tcPr>
          <w:p w14:paraId="400B5DC3" w14:textId="2FF031BA" w:rsidR="00621DA1" w:rsidRPr="000E7502" w:rsidRDefault="000E7502" w:rsidP="00131656">
            <w:pPr>
              <w:spacing w:after="0" w:line="240" w:lineRule="auto"/>
              <w:rPr>
                <w:rFonts w:ascii="Calibri" w:eastAsia="Calibri" w:hAnsi="Calibri" w:cs="Calibri"/>
                <w:lang w:val="fr-CA"/>
              </w:rPr>
            </w:pPr>
            <w:r w:rsidRPr="000E7502">
              <w:rPr>
                <w:lang w:val="fr-CA"/>
              </w:rPr>
              <w:t xml:space="preserve">Toutes les demandes doivent être envoyées à </w:t>
            </w:r>
            <w:hyperlink r:id="rId10" w:history="1">
              <w:hyperlink r:id="rId11" w:history="1">
                <w:r w:rsidR="00621DA1" w:rsidRPr="000E7502">
                  <w:rPr>
                    <w:rStyle w:val="Hyperlink"/>
                    <w:rFonts w:ascii="Calibri" w:hAnsi="Calibri" w:cs="Calibri"/>
                    <w:lang w:val="fr-CA"/>
                  </w:rPr>
                  <w:t>drcprocurement@clintonhealthaccess.org</w:t>
                </w:r>
              </w:hyperlink>
              <w:r w:rsidR="00621DA1" w:rsidRPr="000E7502">
                <w:rPr>
                  <w:rStyle w:val="Hyperlink"/>
                  <w:rFonts w:ascii="Calibri" w:eastAsia="Calibri" w:hAnsi="Calibri" w:cs="Calibri"/>
                  <w:lang w:val="fr-CA"/>
                </w:rPr>
                <w:t xml:space="preserve"> </w:t>
              </w:r>
            </w:hyperlink>
          </w:p>
        </w:tc>
      </w:tr>
    </w:tbl>
    <w:p w14:paraId="1A0CC4CC" w14:textId="77777777" w:rsidR="00621DA1" w:rsidRPr="00621DA1" w:rsidRDefault="00621DA1" w:rsidP="00621DA1">
      <w:pPr>
        <w:jc w:val="both"/>
        <w:rPr>
          <w:lang w:val="fr-CA"/>
        </w:rPr>
      </w:pPr>
    </w:p>
    <w:p w14:paraId="628ABF36" w14:textId="1C4B196C" w:rsidR="00621DA1" w:rsidRPr="00C41940" w:rsidRDefault="00936F1D" w:rsidP="009637CB">
      <w:pPr>
        <w:jc w:val="both"/>
        <w:rPr>
          <w:rStyle w:val="Strong"/>
        </w:rPr>
      </w:pPr>
      <w:r w:rsidRPr="00C41940">
        <w:rPr>
          <w:rStyle w:val="Strong"/>
        </w:rPr>
        <w:t>8. Annexes</w:t>
      </w:r>
    </w:p>
    <w:p w14:paraId="323DAC8E" w14:textId="77777777" w:rsidR="00936F1D" w:rsidRPr="00936F1D" w:rsidRDefault="00936F1D" w:rsidP="00936F1D">
      <w:pPr>
        <w:rPr>
          <w:b/>
          <w:bCs/>
          <w:lang w:val="fr-CA"/>
        </w:rPr>
      </w:pPr>
      <w:r w:rsidRPr="00936F1D">
        <w:rPr>
          <w:b/>
          <w:bCs/>
          <w:lang w:val="fr-CA"/>
        </w:rPr>
        <w:t>Annexe A : Informations sur les Produits, Détails sur les Fournisseurs et Exigences en Matière d'Expédition</w:t>
      </w:r>
    </w:p>
    <w:p w14:paraId="07D654C9" w14:textId="50521950" w:rsidR="00936F1D" w:rsidRPr="00936F1D" w:rsidRDefault="00936F1D" w:rsidP="00C41940">
      <w:pPr>
        <w:jc w:val="both"/>
        <w:rPr>
          <w:lang w:val="fr-CA"/>
        </w:rPr>
      </w:pPr>
      <w:r w:rsidRPr="00936F1D">
        <w:rPr>
          <w:lang w:val="fr-CA"/>
        </w:rPr>
        <w:t xml:space="preserve">Les informations concernant les produits, les quantités requises et le lieu de livraison détaillé figurent sur les feuilles 1 et 2 de l'Annexe A. Vous pouvez consulter ces informations en cliquant sur le lien suivant : </w:t>
      </w:r>
      <w:hyperlink r:id="rId12" w:history="1">
        <w:r w:rsidR="00A315ED" w:rsidRPr="00A315ED">
          <w:rPr>
            <w:rStyle w:val="Hyperlink"/>
            <w:lang w:val="fr-CA"/>
          </w:rPr>
          <w:t>Lien vers les informations sur les produits et les fournisseurs</w:t>
        </w:r>
      </w:hyperlink>
      <w:r w:rsidR="00C41940">
        <w:rPr>
          <w:rStyle w:val="Hyperlink"/>
          <w:lang w:val="fr-CA"/>
        </w:rPr>
        <w:t xml:space="preserve">. </w:t>
      </w:r>
      <w:r w:rsidRPr="00936F1D">
        <w:rPr>
          <w:lang w:val="fr-CA"/>
        </w:rPr>
        <w:t xml:space="preserve">Veuillez télécharger la feuille Excel, la compléter et l'attacher à votre demande. Si vous ne pouvez pas accéder à ce lien, contactez-nous à l'adresse </w:t>
      </w:r>
      <w:hyperlink r:id="rId13" w:history="1">
        <w:r w:rsidRPr="000E7502">
          <w:rPr>
            <w:rStyle w:val="Hyperlink"/>
            <w:rFonts w:ascii="Calibri" w:hAnsi="Calibri" w:cs="Calibri"/>
            <w:lang w:val="fr-CA"/>
          </w:rPr>
          <w:t>drcprocurement@clintonhealthaccess.org</w:t>
        </w:r>
      </w:hyperlink>
      <w:r w:rsidRPr="00936F1D">
        <w:rPr>
          <w:lang w:val="fr-CA"/>
        </w:rPr>
        <w:t>, et nous vous enverrons les documents par courriel.</w:t>
      </w:r>
    </w:p>
    <w:p w14:paraId="447F5EAA" w14:textId="77777777" w:rsidR="00936F1D" w:rsidRDefault="00936F1D" w:rsidP="00C41940">
      <w:pPr>
        <w:jc w:val="both"/>
        <w:rPr>
          <w:lang w:val="fr-CA"/>
        </w:rPr>
      </w:pPr>
      <w:r w:rsidRPr="00936F1D">
        <w:rPr>
          <w:lang w:val="fr-CA"/>
        </w:rPr>
        <w:t>Les détails des quatre lots sont fournis ci-dessous.</w:t>
      </w:r>
    </w:p>
    <w:p w14:paraId="5294D637" w14:textId="281FCF30" w:rsidR="00936F1D" w:rsidRPr="00936F1D" w:rsidRDefault="00936F1D" w:rsidP="00936F1D">
      <w:pPr>
        <w:rPr>
          <w:b/>
          <w:bCs/>
        </w:rPr>
      </w:pPr>
      <w:r w:rsidRPr="00936F1D">
        <w:rPr>
          <w:b/>
          <w:bCs/>
        </w:rPr>
        <w:t>Lot 1</w:t>
      </w:r>
    </w:p>
    <w:tbl>
      <w:tblPr>
        <w:tblStyle w:val="TableGrid0"/>
        <w:tblW w:w="10719" w:type="dxa"/>
        <w:tblInd w:w="-725" w:type="dxa"/>
        <w:tblLook w:val="04A0" w:firstRow="1" w:lastRow="0" w:firstColumn="1" w:lastColumn="0" w:noHBand="0" w:noVBand="1"/>
      </w:tblPr>
      <w:tblGrid>
        <w:gridCol w:w="5400"/>
        <w:gridCol w:w="1028"/>
        <w:gridCol w:w="1165"/>
        <w:gridCol w:w="3126"/>
      </w:tblGrid>
      <w:tr w:rsidR="00936F1D" w:rsidRPr="00936F1D" w14:paraId="33697D61" w14:textId="77777777" w:rsidTr="00936F1D">
        <w:trPr>
          <w:trHeight w:val="287"/>
        </w:trPr>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ACF27" w14:textId="14B39A6B" w:rsidR="00936F1D" w:rsidRPr="00912630" w:rsidRDefault="00936F1D" w:rsidP="00936F1D">
            <w:pPr>
              <w:rPr>
                <w:b/>
                <w:bCs/>
              </w:rPr>
            </w:pPr>
            <w:r>
              <w:rPr>
                <w:rStyle w:val="Strong"/>
              </w:rPr>
              <w:t>Produit/Article</w:t>
            </w:r>
          </w:p>
        </w:tc>
        <w:tc>
          <w:tcPr>
            <w:tcW w:w="1028" w:type="dxa"/>
            <w:tcBorders>
              <w:top w:val="single" w:sz="4" w:space="0" w:color="auto"/>
              <w:left w:val="single" w:sz="4" w:space="0" w:color="000000" w:themeColor="text1"/>
              <w:bottom w:val="single" w:sz="4" w:space="0" w:color="000000" w:themeColor="text1"/>
              <w:right w:val="single" w:sz="4" w:space="0" w:color="000000" w:themeColor="text1"/>
            </w:tcBorders>
          </w:tcPr>
          <w:p w14:paraId="7519D678" w14:textId="28CA4C83" w:rsidR="00936F1D" w:rsidRPr="00912630" w:rsidRDefault="00936F1D" w:rsidP="00131656">
            <w:pPr>
              <w:ind w:left="93"/>
              <w:rPr>
                <w:b/>
                <w:bCs/>
              </w:rPr>
            </w:pPr>
            <w:r w:rsidRPr="00936F1D">
              <w:rPr>
                <w:b/>
                <w:bCs/>
              </w:rPr>
              <w:t>Quantité</w:t>
            </w:r>
          </w:p>
        </w:tc>
        <w:tc>
          <w:tcPr>
            <w:tcW w:w="1165" w:type="dxa"/>
            <w:tcBorders>
              <w:top w:val="single" w:sz="4" w:space="0" w:color="auto"/>
              <w:left w:val="single" w:sz="4" w:space="0" w:color="000000" w:themeColor="text1"/>
              <w:bottom w:val="single" w:sz="4" w:space="0" w:color="000000" w:themeColor="text1"/>
              <w:right w:val="single" w:sz="4" w:space="0" w:color="000000" w:themeColor="text1"/>
            </w:tcBorders>
          </w:tcPr>
          <w:p w14:paraId="7B45A87C" w14:textId="5839A1B3" w:rsidR="00936F1D" w:rsidRPr="00912630" w:rsidRDefault="00936F1D" w:rsidP="00131656">
            <w:pPr>
              <w:ind w:left="93"/>
              <w:rPr>
                <w:b/>
                <w:bCs/>
              </w:rPr>
            </w:pPr>
            <w:r>
              <w:rPr>
                <w:b/>
                <w:bCs/>
              </w:rPr>
              <w:t>Pays</w:t>
            </w:r>
          </w:p>
        </w:tc>
        <w:tc>
          <w:tcPr>
            <w:tcW w:w="3126" w:type="dxa"/>
            <w:tcBorders>
              <w:top w:val="single" w:sz="4" w:space="0" w:color="auto"/>
              <w:left w:val="single" w:sz="4" w:space="0" w:color="000000" w:themeColor="text1"/>
              <w:bottom w:val="single" w:sz="4" w:space="0" w:color="000000" w:themeColor="text1"/>
              <w:right w:val="single" w:sz="4" w:space="0" w:color="000000" w:themeColor="text1"/>
            </w:tcBorders>
          </w:tcPr>
          <w:p w14:paraId="3A5D96A8" w14:textId="36345B9D" w:rsidR="00936F1D" w:rsidRPr="00936F1D" w:rsidRDefault="00936F1D" w:rsidP="00131656">
            <w:pPr>
              <w:ind w:left="107"/>
              <w:rPr>
                <w:b/>
                <w:bCs/>
                <w:lang w:val="fr-CA"/>
              </w:rPr>
            </w:pPr>
            <w:r w:rsidRPr="00936F1D">
              <w:rPr>
                <w:b/>
                <w:bCs/>
                <w:lang w:val="fr-CA"/>
              </w:rPr>
              <w:t>Dernière Date de Livraison Prévue</w:t>
            </w:r>
          </w:p>
        </w:tc>
      </w:tr>
      <w:tr w:rsidR="00936F1D" w:rsidRPr="00912630" w14:paraId="088602B4" w14:textId="77777777" w:rsidTr="00936F1D">
        <w:trPr>
          <w:trHeight w:val="425"/>
        </w:trPr>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BBD9D" w14:textId="5DECAEF6" w:rsidR="00936F1D" w:rsidRPr="00936F1D" w:rsidRDefault="00936F1D" w:rsidP="00131656">
            <w:pPr>
              <w:ind w:left="108"/>
              <w:rPr>
                <w:lang w:val="fr-CA"/>
              </w:rPr>
            </w:pPr>
            <w:r w:rsidRPr="00936F1D">
              <w:rPr>
                <w:lang w:val="fr-CA"/>
              </w:rPr>
              <w:t>Fourniture de mLOX à CUK pour 12 mois (y compris le transport vers CUK</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625E7" w14:textId="77777777" w:rsidR="00936F1D" w:rsidRPr="00912630" w:rsidRDefault="00936F1D" w:rsidP="00131656">
            <w:pPr>
              <w:ind w:left="93"/>
              <w:rPr>
                <w:lang w:val="en-GB"/>
              </w:rPr>
            </w:pPr>
            <w:r w:rsidRPr="14F81A07">
              <w:rPr>
                <w:lang w:val="en-GB"/>
              </w:rPr>
              <w:t>1</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8B7C0" w14:textId="47FEBD1B" w:rsidR="00936F1D" w:rsidRPr="00912630" w:rsidRDefault="00936F1D" w:rsidP="00131656">
            <w:pPr>
              <w:rPr>
                <w:lang w:val="en-GB"/>
              </w:rPr>
            </w:pPr>
            <w:r w:rsidRPr="7F8205F8">
              <w:rPr>
                <w:lang w:val="en-GB"/>
              </w:rPr>
              <w:t xml:space="preserve"> R</w:t>
            </w:r>
            <w:r>
              <w:rPr>
                <w:lang w:val="en-GB"/>
              </w:rPr>
              <w:t>D</w:t>
            </w:r>
            <w:r w:rsidRPr="7F8205F8">
              <w:rPr>
                <w:lang w:val="en-GB"/>
              </w:rPr>
              <w:t>C</w:t>
            </w:r>
          </w:p>
        </w:tc>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E40BA" w14:textId="157875C3" w:rsidR="00936F1D" w:rsidRPr="00912630" w:rsidRDefault="00936F1D" w:rsidP="00131656">
            <w:pPr>
              <w:ind w:left="107"/>
            </w:pPr>
            <w:r w:rsidRPr="00936F1D">
              <w:t>Janvier 2025</w:t>
            </w:r>
          </w:p>
        </w:tc>
      </w:tr>
      <w:tr w:rsidR="00936F1D" w14:paraId="3927C6CE" w14:textId="77777777" w:rsidTr="00936F1D">
        <w:trPr>
          <w:trHeight w:val="425"/>
        </w:trPr>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272C8" w14:textId="5F39607B" w:rsidR="00936F1D" w:rsidRPr="00936F1D" w:rsidRDefault="00936F1D" w:rsidP="00131656">
            <w:pPr>
              <w:ind w:left="108"/>
              <w:rPr>
                <w:lang w:val="fr-CA"/>
              </w:rPr>
            </w:pPr>
            <w:r w:rsidRPr="00936F1D">
              <w:rPr>
                <w:lang w:val="fr-CA"/>
              </w:rPr>
              <w:t>Fourniture de mLOX à L2G tank pour 12 mois (y compris le transport vers CUK)</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2FC1" w14:textId="77777777" w:rsidR="00936F1D" w:rsidRDefault="00936F1D" w:rsidP="00131656">
            <w:pPr>
              <w:rPr>
                <w:lang w:val="en-GB"/>
              </w:rPr>
            </w:pPr>
            <w:r w:rsidRPr="00936F1D">
              <w:rPr>
                <w:lang w:val="fr-CA"/>
              </w:rPr>
              <w:t xml:space="preserve"> </w:t>
            </w:r>
            <w:r w:rsidRPr="7F8205F8">
              <w:rPr>
                <w:lang w:val="en-GB"/>
              </w:rPr>
              <w:t>1</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6FBCB" w14:textId="0CA195B0" w:rsidR="00936F1D" w:rsidRDefault="00936F1D" w:rsidP="00131656">
            <w:pPr>
              <w:rPr>
                <w:lang w:val="en-GB"/>
              </w:rPr>
            </w:pPr>
            <w:r w:rsidRPr="7F8205F8">
              <w:rPr>
                <w:lang w:val="en-GB"/>
              </w:rPr>
              <w:t xml:space="preserve"> R</w:t>
            </w:r>
            <w:r>
              <w:rPr>
                <w:lang w:val="en-GB"/>
              </w:rPr>
              <w:t>D</w:t>
            </w:r>
            <w:r w:rsidRPr="7F8205F8">
              <w:rPr>
                <w:lang w:val="en-GB"/>
              </w:rPr>
              <w:t>C</w:t>
            </w:r>
          </w:p>
        </w:tc>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35F9C" w14:textId="19BE73B3" w:rsidR="00936F1D" w:rsidRDefault="00936F1D" w:rsidP="00936F1D">
            <w:pPr>
              <w:ind w:left="107"/>
            </w:pPr>
            <w:r w:rsidRPr="00936F1D">
              <w:t>Janvier 2025</w:t>
            </w:r>
          </w:p>
        </w:tc>
      </w:tr>
    </w:tbl>
    <w:p w14:paraId="2A2EC3DF" w14:textId="590F09A7" w:rsidR="00936F1D" w:rsidRDefault="00936F1D" w:rsidP="009637CB">
      <w:pPr>
        <w:jc w:val="both"/>
        <w:rPr>
          <w:b/>
          <w:bCs/>
          <w:lang w:val="fr-CA"/>
        </w:rPr>
      </w:pPr>
      <w:r w:rsidRPr="00936F1D">
        <w:rPr>
          <w:b/>
          <w:bCs/>
          <w:lang w:val="fr-CA"/>
        </w:rPr>
        <w:lastRenderedPageBreak/>
        <w:t>Lot 2</w:t>
      </w:r>
    </w:p>
    <w:tbl>
      <w:tblPr>
        <w:tblStyle w:val="TableGrid0"/>
        <w:tblW w:w="10719" w:type="dxa"/>
        <w:tblInd w:w="-725" w:type="dxa"/>
        <w:tblLook w:val="04A0" w:firstRow="1" w:lastRow="0" w:firstColumn="1" w:lastColumn="0" w:noHBand="0" w:noVBand="1"/>
      </w:tblPr>
      <w:tblGrid>
        <w:gridCol w:w="5400"/>
        <w:gridCol w:w="1028"/>
        <w:gridCol w:w="1165"/>
        <w:gridCol w:w="3126"/>
      </w:tblGrid>
      <w:tr w:rsidR="00936F1D" w:rsidRPr="00936F1D" w14:paraId="6EE5C910" w14:textId="77777777" w:rsidTr="00131656">
        <w:trPr>
          <w:trHeight w:val="287"/>
        </w:trPr>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3243A" w14:textId="77777777" w:rsidR="00936F1D" w:rsidRPr="00912630" w:rsidRDefault="00936F1D" w:rsidP="00131656">
            <w:pPr>
              <w:rPr>
                <w:b/>
                <w:bCs/>
              </w:rPr>
            </w:pPr>
            <w:r>
              <w:rPr>
                <w:rStyle w:val="Strong"/>
              </w:rPr>
              <w:t>Produit/Article</w:t>
            </w:r>
          </w:p>
        </w:tc>
        <w:tc>
          <w:tcPr>
            <w:tcW w:w="1028" w:type="dxa"/>
            <w:tcBorders>
              <w:top w:val="single" w:sz="4" w:space="0" w:color="auto"/>
              <w:left w:val="single" w:sz="4" w:space="0" w:color="000000" w:themeColor="text1"/>
              <w:bottom w:val="single" w:sz="4" w:space="0" w:color="000000" w:themeColor="text1"/>
              <w:right w:val="single" w:sz="4" w:space="0" w:color="000000" w:themeColor="text1"/>
            </w:tcBorders>
          </w:tcPr>
          <w:p w14:paraId="2781971E" w14:textId="77777777" w:rsidR="00936F1D" w:rsidRPr="00912630" w:rsidRDefault="00936F1D" w:rsidP="00131656">
            <w:pPr>
              <w:ind w:left="93"/>
              <w:rPr>
                <w:b/>
                <w:bCs/>
              </w:rPr>
            </w:pPr>
            <w:r w:rsidRPr="00936F1D">
              <w:rPr>
                <w:b/>
                <w:bCs/>
              </w:rPr>
              <w:t>Quantité</w:t>
            </w:r>
          </w:p>
        </w:tc>
        <w:tc>
          <w:tcPr>
            <w:tcW w:w="1165" w:type="dxa"/>
            <w:tcBorders>
              <w:top w:val="single" w:sz="4" w:space="0" w:color="auto"/>
              <w:left w:val="single" w:sz="4" w:space="0" w:color="000000" w:themeColor="text1"/>
              <w:bottom w:val="single" w:sz="4" w:space="0" w:color="000000" w:themeColor="text1"/>
              <w:right w:val="single" w:sz="4" w:space="0" w:color="000000" w:themeColor="text1"/>
            </w:tcBorders>
          </w:tcPr>
          <w:p w14:paraId="318F2FC4" w14:textId="77777777" w:rsidR="00936F1D" w:rsidRPr="00912630" w:rsidRDefault="00936F1D" w:rsidP="00131656">
            <w:pPr>
              <w:ind w:left="93"/>
              <w:rPr>
                <w:b/>
                <w:bCs/>
              </w:rPr>
            </w:pPr>
            <w:r>
              <w:rPr>
                <w:b/>
                <w:bCs/>
              </w:rPr>
              <w:t>Pays</w:t>
            </w:r>
          </w:p>
        </w:tc>
        <w:tc>
          <w:tcPr>
            <w:tcW w:w="3126" w:type="dxa"/>
            <w:tcBorders>
              <w:top w:val="single" w:sz="4" w:space="0" w:color="auto"/>
              <w:left w:val="single" w:sz="4" w:space="0" w:color="000000" w:themeColor="text1"/>
              <w:bottom w:val="single" w:sz="4" w:space="0" w:color="000000" w:themeColor="text1"/>
              <w:right w:val="single" w:sz="4" w:space="0" w:color="000000" w:themeColor="text1"/>
            </w:tcBorders>
          </w:tcPr>
          <w:p w14:paraId="5D28522F" w14:textId="77777777" w:rsidR="00936F1D" w:rsidRPr="00936F1D" w:rsidRDefault="00936F1D" w:rsidP="00131656">
            <w:pPr>
              <w:ind w:left="107"/>
              <w:rPr>
                <w:b/>
                <w:bCs/>
                <w:lang w:val="fr-CA"/>
              </w:rPr>
            </w:pPr>
            <w:r w:rsidRPr="00936F1D">
              <w:rPr>
                <w:b/>
                <w:bCs/>
                <w:lang w:val="fr-CA"/>
              </w:rPr>
              <w:t>Dernière Date de Livraison Prévue</w:t>
            </w:r>
          </w:p>
        </w:tc>
      </w:tr>
      <w:tr w:rsidR="00936F1D" w:rsidRPr="00912630" w14:paraId="3A5C295C" w14:textId="77777777" w:rsidTr="00131656">
        <w:trPr>
          <w:trHeight w:val="425"/>
        </w:trPr>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F4B8D" w14:textId="7659D6A7" w:rsidR="00936F1D" w:rsidRPr="00936F1D" w:rsidRDefault="00936F1D" w:rsidP="00131656">
            <w:pPr>
              <w:ind w:left="108"/>
              <w:rPr>
                <w:lang w:val="fr-CA"/>
              </w:rPr>
            </w:pPr>
            <w:r w:rsidRPr="00936F1D">
              <w:rPr>
                <w:lang w:val="fr-CA"/>
              </w:rPr>
              <w:t>Opérations du système de remplissage L2G (12 mois)</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20084" w14:textId="77777777" w:rsidR="00936F1D" w:rsidRPr="00912630" w:rsidRDefault="00936F1D" w:rsidP="00131656">
            <w:pPr>
              <w:ind w:left="93"/>
              <w:rPr>
                <w:lang w:val="en-GB"/>
              </w:rPr>
            </w:pPr>
            <w:r w:rsidRPr="14F81A07">
              <w:rPr>
                <w:lang w:val="en-GB"/>
              </w:rPr>
              <w:t>1</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AACD0" w14:textId="77777777" w:rsidR="00936F1D" w:rsidRPr="00912630" w:rsidRDefault="00936F1D" w:rsidP="00131656">
            <w:pPr>
              <w:rPr>
                <w:lang w:val="en-GB"/>
              </w:rPr>
            </w:pPr>
            <w:r w:rsidRPr="7F8205F8">
              <w:rPr>
                <w:lang w:val="en-GB"/>
              </w:rPr>
              <w:t xml:space="preserve"> R</w:t>
            </w:r>
            <w:r>
              <w:rPr>
                <w:lang w:val="en-GB"/>
              </w:rPr>
              <w:t>D</w:t>
            </w:r>
            <w:r w:rsidRPr="7F8205F8">
              <w:rPr>
                <w:lang w:val="en-GB"/>
              </w:rPr>
              <w:t>C</w:t>
            </w:r>
          </w:p>
        </w:tc>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455CB" w14:textId="77777777" w:rsidR="00936F1D" w:rsidRPr="00912630" w:rsidRDefault="00936F1D" w:rsidP="00131656">
            <w:pPr>
              <w:ind w:left="107"/>
            </w:pPr>
            <w:r w:rsidRPr="00936F1D">
              <w:t>Janvier 2025</w:t>
            </w:r>
          </w:p>
        </w:tc>
      </w:tr>
      <w:tr w:rsidR="00936F1D" w14:paraId="344A5531" w14:textId="77777777" w:rsidTr="00131656">
        <w:trPr>
          <w:trHeight w:val="425"/>
        </w:trPr>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B7560" w14:textId="200FFFDF" w:rsidR="00936F1D" w:rsidRPr="00936F1D" w:rsidRDefault="00936F1D" w:rsidP="00131656">
            <w:pPr>
              <w:ind w:left="108"/>
              <w:rPr>
                <w:lang w:val="fr-CA"/>
              </w:rPr>
            </w:pPr>
            <w:r w:rsidRPr="00936F1D">
              <w:rPr>
                <w:lang w:val="fr-CA"/>
              </w:rPr>
              <w:t>Formations/renforcement des capacités et formations de remise à niveau associées aux opérations de remplissage du L2G (12 mois)</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2E49A" w14:textId="77777777" w:rsidR="00936F1D" w:rsidRDefault="00936F1D" w:rsidP="00131656">
            <w:pPr>
              <w:rPr>
                <w:lang w:val="en-GB"/>
              </w:rPr>
            </w:pPr>
            <w:r w:rsidRPr="00936F1D">
              <w:rPr>
                <w:lang w:val="fr-CA"/>
              </w:rPr>
              <w:t xml:space="preserve"> </w:t>
            </w:r>
            <w:r w:rsidRPr="7F8205F8">
              <w:rPr>
                <w:lang w:val="en-GB"/>
              </w:rPr>
              <w:t>1</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8C42F" w14:textId="77777777" w:rsidR="00936F1D" w:rsidRDefault="00936F1D" w:rsidP="00131656">
            <w:pPr>
              <w:rPr>
                <w:lang w:val="en-GB"/>
              </w:rPr>
            </w:pPr>
            <w:r w:rsidRPr="7F8205F8">
              <w:rPr>
                <w:lang w:val="en-GB"/>
              </w:rPr>
              <w:t xml:space="preserve"> R</w:t>
            </w:r>
            <w:r>
              <w:rPr>
                <w:lang w:val="en-GB"/>
              </w:rPr>
              <w:t>D</w:t>
            </w:r>
            <w:r w:rsidRPr="7F8205F8">
              <w:rPr>
                <w:lang w:val="en-GB"/>
              </w:rPr>
              <w:t>C</w:t>
            </w:r>
          </w:p>
        </w:tc>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B098D" w14:textId="77777777" w:rsidR="00936F1D" w:rsidRDefault="00936F1D" w:rsidP="00131656">
            <w:pPr>
              <w:ind w:left="107"/>
            </w:pPr>
            <w:r w:rsidRPr="00936F1D">
              <w:t>Janvier 2025</w:t>
            </w:r>
          </w:p>
        </w:tc>
      </w:tr>
    </w:tbl>
    <w:p w14:paraId="1050E328" w14:textId="77777777" w:rsidR="00C41940" w:rsidRDefault="00C41940" w:rsidP="00E611AA">
      <w:pPr>
        <w:jc w:val="both"/>
        <w:rPr>
          <w:b/>
          <w:bCs/>
          <w:lang w:val="fr-CA"/>
        </w:rPr>
      </w:pPr>
    </w:p>
    <w:p w14:paraId="68A051CA" w14:textId="0CF78FB6" w:rsidR="00E611AA" w:rsidRPr="00E611AA" w:rsidRDefault="00E611AA" w:rsidP="00E611AA">
      <w:pPr>
        <w:jc w:val="both"/>
        <w:rPr>
          <w:b/>
          <w:bCs/>
          <w:lang w:val="fr-CA"/>
        </w:rPr>
      </w:pPr>
      <w:r w:rsidRPr="00E611AA">
        <w:rPr>
          <w:b/>
          <w:bCs/>
          <w:lang w:val="fr-CA"/>
        </w:rPr>
        <w:t>Annexe B : Spécifications Techniques</w:t>
      </w:r>
    </w:p>
    <w:p w14:paraId="5167F3FB" w14:textId="54E8BA08" w:rsidR="00E611AA" w:rsidRPr="00E611AA" w:rsidRDefault="00E611AA" w:rsidP="00E611AA">
      <w:pPr>
        <w:jc w:val="both"/>
        <w:rPr>
          <w:lang w:val="fr-CA"/>
        </w:rPr>
      </w:pPr>
      <w:r w:rsidRPr="00E611AA">
        <w:rPr>
          <w:lang w:val="fr-CA"/>
        </w:rPr>
        <w:t xml:space="preserve">Les spécifications techniques des articles peuvent être consultées en cliquant sur les liens suivants : Spécifications et Liste de Contrôle : </w:t>
      </w:r>
      <w:hyperlink r:id="rId14" w:history="1">
        <w:r w:rsidRPr="00A315ED">
          <w:rPr>
            <w:rStyle w:val="Hyperlink"/>
            <w:lang w:val="fr-CA"/>
          </w:rPr>
          <w:t>Lot 1</w:t>
        </w:r>
      </w:hyperlink>
      <w:r w:rsidRPr="00E611AA">
        <w:rPr>
          <w:lang w:val="fr-CA"/>
        </w:rPr>
        <w:t xml:space="preserve"> | </w:t>
      </w:r>
      <w:hyperlink r:id="rId15" w:history="1">
        <w:r w:rsidRPr="00A315ED">
          <w:rPr>
            <w:rStyle w:val="Hyperlink"/>
            <w:lang w:val="fr-CA"/>
          </w:rPr>
          <w:t>Lot 2</w:t>
        </w:r>
      </w:hyperlink>
    </w:p>
    <w:p w14:paraId="1C07CAEA" w14:textId="3B4297DE" w:rsidR="00E611AA" w:rsidRDefault="00E611AA" w:rsidP="00E611AA">
      <w:pPr>
        <w:jc w:val="both"/>
        <w:rPr>
          <w:lang w:val="fr-CA"/>
        </w:rPr>
      </w:pPr>
      <w:r w:rsidRPr="00E611AA">
        <w:rPr>
          <w:lang w:val="fr-CA"/>
        </w:rPr>
        <w:t>Veuillez télécharger la ou les feuilles Excel correspondantes, les compléter et les joindre à votre candidature. Assurez-vous de fournir tous les documents pertinents à l'appui de vos demandes dans l'Annexe B. Si vous ne pouvez pas accéder aux liens, veuillez nous contacter à l'adresse</w:t>
      </w:r>
      <w:r>
        <w:rPr>
          <w:lang w:val="fr-CA"/>
        </w:rPr>
        <w:t> :</w:t>
      </w:r>
      <w:r w:rsidRPr="00E611AA">
        <w:rPr>
          <w:lang w:val="fr-CA"/>
        </w:rPr>
        <w:t xml:space="preserve"> </w:t>
      </w:r>
      <w:hyperlink r:id="rId16" w:history="1">
        <w:r w:rsidRPr="000E7502">
          <w:rPr>
            <w:rStyle w:val="Hyperlink"/>
            <w:rFonts w:ascii="Calibri" w:hAnsi="Calibri" w:cs="Calibri"/>
            <w:lang w:val="fr-CA"/>
          </w:rPr>
          <w:t>drcprocurement@clintonhealthaccess.org</w:t>
        </w:r>
      </w:hyperlink>
      <w:r>
        <w:rPr>
          <w:lang w:val="fr-CA"/>
        </w:rPr>
        <w:t xml:space="preserve"> </w:t>
      </w:r>
      <w:r w:rsidRPr="00E611AA">
        <w:rPr>
          <w:lang w:val="fr-CA"/>
        </w:rPr>
        <w:t>, et nous vous enverrons les documents par courriel.</w:t>
      </w:r>
    </w:p>
    <w:p w14:paraId="36A65014" w14:textId="77777777" w:rsidR="00E611AA" w:rsidRPr="00E611AA" w:rsidRDefault="00E611AA" w:rsidP="00E611AA">
      <w:pPr>
        <w:jc w:val="both"/>
        <w:rPr>
          <w:lang w:val="fr-CA"/>
        </w:rPr>
      </w:pPr>
      <w:r w:rsidRPr="00E611AA">
        <w:rPr>
          <w:b/>
          <w:bCs/>
          <w:lang w:val="fr-CA"/>
        </w:rPr>
        <w:t>Annexe C : Code de Conduite de la CHAI pour les Fournisseurs</w:t>
      </w:r>
    </w:p>
    <w:p w14:paraId="255AE1C3" w14:textId="77ECF5AE" w:rsidR="00E611AA" w:rsidRDefault="00E611AA" w:rsidP="00E611AA">
      <w:pPr>
        <w:jc w:val="both"/>
        <w:rPr>
          <w:lang w:val="fr-CA"/>
        </w:rPr>
      </w:pPr>
      <w:r w:rsidRPr="00E611AA">
        <w:rPr>
          <w:lang w:val="fr-CA"/>
        </w:rPr>
        <w:t xml:space="preserve">Le Code de Conduite de la CHAI pour les fournisseurs est un ensemble d'exigences minimales que les fournisseurs doivent respecter pour faire des affaires avec la CHAI et rester en règle avec l'organisation. Veuillez lire le document via ce lien : </w:t>
      </w:r>
      <w:hyperlink r:id="rId17" w:history="1">
        <w:r w:rsidRPr="00A315ED">
          <w:rPr>
            <w:rStyle w:val="Hyperlink"/>
            <w:lang w:val="fr-CA"/>
          </w:rPr>
          <w:t>Code de Conduite de la CHAI pour les Fournisseurs</w:t>
        </w:r>
      </w:hyperlink>
      <w:r w:rsidRPr="00E611AA">
        <w:rPr>
          <w:lang w:val="fr-CA"/>
        </w:rPr>
        <w:t>. Ne postulez à cette sollicitation que si votre organisation peut se conformer à ces exigences.</w:t>
      </w:r>
    </w:p>
    <w:p w14:paraId="4A1F34EC" w14:textId="77777777" w:rsidR="00E611AA" w:rsidRPr="00E611AA" w:rsidRDefault="00E611AA" w:rsidP="00E611AA">
      <w:pPr>
        <w:jc w:val="both"/>
        <w:rPr>
          <w:lang w:val="fr-CA"/>
        </w:rPr>
      </w:pPr>
      <w:r w:rsidRPr="00E611AA">
        <w:rPr>
          <w:b/>
          <w:bCs/>
          <w:lang w:val="fr-CA"/>
        </w:rPr>
        <w:t>Annexe D : Chaîne d'Approvisionnement Proposée pour le mLOX</w:t>
      </w:r>
    </w:p>
    <w:p w14:paraId="6BAF857B" w14:textId="7DCBC2A8" w:rsidR="00936F1D" w:rsidRPr="00936F1D" w:rsidRDefault="00C41940" w:rsidP="009637CB">
      <w:pPr>
        <w:jc w:val="both"/>
        <w:rPr>
          <w:b/>
          <w:bCs/>
          <w:lang w:val="fr-CA"/>
        </w:rPr>
      </w:pPr>
      <w:r w:rsidRPr="00C41940">
        <w:rPr>
          <w:noProof/>
          <w:lang w:val="fr-CA"/>
        </w:rPr>
        <w:drawing>
          <wp:inline distT="0" distB="0" distL="0" distR="0" wp14:anchorId="7517D4AA" wp14:editId="59EAF9F4">
            <wp:extent cx="6068482" cy="3390181"/>
            <wp:effectExtent l="0" t="0" r="8890" b="1270"/>
            <wp:docPr id="590840333" name="Picture 1" descr="A diagram of a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40333" name="Picture 1" descr="A diagram of a truck&#10;&#10;Description automatically generated"/>
                    <pic:cNvPicPr/>
                  </pic:nvPicPr>
                  <pic:blipFill>
                    <a:blip r:embed="rId18"/>
                    <a:stretch>
                      <a:fillRect/>
                    </a:stretch>
                  </pic:blipFill>
                  <pic:spPr>
                    <a:xfrm>
                      <a:off x="0" y="0"/>
                      <a:ext cx="6091221" cy="3402884"/>
                    </a:xfrm>
                    <a:prstGeom prst="rect">
                      <a:avLst/>
                    </a:prstGeom>
                  </pic:spPr>
                </pic:pic>
              </a:graphicData>
            </a:graphic>
          </wp:inline>
        </w:drawing>
      </w:r>
    </w:p>
    <w:sectPr w:rsidR="00936F1D" w:rsidRPr="00936F1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DDE13" w14:textId="77777777" w:rsidR="00747857" w:rsidRDefault="00747857" w:rsidP="009637CB">
      <w:pPr>
        <w:spacing w:after="0" w:line="240" w:lineRule="auto"/>
      </w:pPr>
      <w:r>
        <w:separator/>
      </w:r>
    </w:p>
  </w:endnote>
  <w:endnote w:type="continuationSeparator" w:id="0">
    <w:p w14:paraId="3C8981FA" w14:textId="77777777" w:rsidR="00747857" w:rsidRDefault="00747857" w:rsidP="0096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536870"/>
      <w:docPartObj>
        <w:docPartGallery w:val="Page Numbers (Bottom of Page)"/>
        <w:docPartUnique/>
      </w:docPartObj>
    </w:sdtPr>
    <w:sdtEndPr>
      <w:rPr>
        <w:noProof/>
      </w:rPr>
    </w:sdtEndPr>
    <w:sdtContent>
      <w:p w14:paraId="6174213D" w14:textId="5023F655" w:rsidR="00C41940" w:rsidRDefault="00C419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0ECBF5" w14:textId="77777777" w:rsidR="00C41940" w:rsidRDefault="00C4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5B6E5" w14:textId="77777777" w:rsidR="00747857" w:rsidRDefault="00747857" w:rsidP="009637CB">
      <w:pPr>
        <w:spacing w:after="0" w:line="240" w:lineRule="auto"/>
      </w:pPr>
      <w:r>
        <w:separator/>
      </w:r>
    </w:p>
  </w:footnote>
  <w:footnote w:type="continuationSeparator" w:id="0">
    <w:p w14:paraId="6869D98B" w14:textId="77777777" w:rsidR="00747857" w:rsidRDefault="00747857" w:rsidP="00963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08345" w14:textId="7EA319EE" w:rsidR="009637CB" w:rsidRDefault="009637CB">
    <w:pPr>
      <w:pStyle w:val="Header"/>
    </w:pPr>
    <w:r>
      <w:rPr>
        <w:noProof/>
        <w:color w:val="2B579A"/>
        <w:shd w:val="clear" w:color="auto" w:fill="E6E6E6"/>
      </w:rPr>
      <w:drawing>
        <wp:anchor distT="0" distB="0" distL="114300" distR="114300" simplePos="0" relativeHeight="251665408" behindDoc="0" locked="0" layoutInCell="1" allowOverlap="1" wp14:anchorId="5226AFDA" wp14:editId="78821EAC">
          <wp:simplePos x="0" y="0"/>
          <wp:positionH relativeFrom="column">
            <wp:posOffset>4191000</wp:posOffset>
          </wp:positionH>
          <wp:positionV relativeFrom="paragraph">
            <wp:posOffset>-406400</wp:posOffset>
          </wp:positionV>
          <wp:extent cx="1449070" cy="934720"/>
          <wp:effectExtent l="0" t="0" r="0" b="0"/>
          <wp:wrapSquare wrapText="bothSides"/>
          <wp:docPr id="1976832502" name="Picture 19768325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F72">
      <w:rPr>
        <w:noProof/>
      </w:rPr>
      <w:drawing>
        <wp:anchor distT="0" distB="0" distL="114300" distR="114300" simplePos="0" relativeHeight="251663360" behindDoc="0" locked="0" layoutInCell="1" allowOverlap="1" wp14:anchorId="3D9ADB8A" wp14:editId="295705BF">
          <wp:simplePos x="0" y="0"/>
          <wp:positionH relativeFrom="column">
            <wp:posOffset>2692400</wp:posOffset>
          </wp:positionH>
          <wp:positionV relativeFrom="paragraph">
            <wp:posOffset>-182245</wp:posOffset>
          </wp:positionV>
          <wp:extent cx="1590675" cy="513715"/>
          <wp:effectExtent l="0" t="0" r="0" b="0"/>
          <wp:wrapNone/>
          <wp:docPr id="996638540" name="Picture 9966385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7B5D48" wp14:editId="7BA95E36">
          <wp:simplePos x="0" y="0"/>
          <wp:positionH relativeFrom="column">
            <wp:posOffset>787400</wp:posOffset>
          </wp:positionH>
          <wp:positionV relativeFrom="paragraph">
            <wp:posOffset>-215900</wp:posOffset>
          </wp:positionV>
          <wp:extent cx="1762125" cy="528320"/>
          <wp:effectExtent l="0" t="0" r="9525" b="5080"/>
          <wp:wrapSquare wrapText="bothSides"/>
          <wp:docPr id="823437378"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37378" name="Picture 823437378" descr="A picture containing text, sign&#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2125" cy="528320"/>
                  </a:xfrm>
                  <a:prstGeom prst="rect">
                    <a:avLst/>
                  </a:prstGeom>
                  <a:noFill/>
                  <a:ln>
                    <a:noFill/>
                  </a:ln>
                </pic:spPr>
              </pic:pic>
            </a:graphicData>
          </a:graphic>
        </wp:anchor>
      </w:drawing>
    </w:r>
    <w:r w:rsidRPr="00B824FC">
      <w:rPr>
        <w:noProof/>
      </w:rPr>
      <w:drawing>
        <wp:anchor distT="0" distB="0" distL="114300" distR="114300" simplePos="0" relativeHeight="251659264" behindDoc="0" locked="0" layoutInCell="1" allowOverlap="1" wp14:anchorId="3AF0F5A9" wp14:editId="5696E236">
          <wp:simplePos x="0" y="0"/>
          <wp:positionH relativeFrom="margin">
            <wp:posOffset>-279400</wp:posOffset>
          </wp:positionH>
          <wp:positionV relativeFrom="paragraph">
            <wp:posOffset>-374650</wp:posOffset>
          </wp:positionV>
          <wp:extent cx="890905" cy="723900"/>
          <wp:effectExtent l="0" t="0" r="4445" b="0"/>
          <wp:wrapSquare wrapText="bothSides"/>
          <wp:docPr id="2034380785" name="Picture 1" descr="A logo of a leop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80785" name="Picture 1" descr="A logo of a leopard&#10;&#10;Description automatically generated"/>
                  <pic:cNvPicPr/>
                </pic:nvPicPr>
                <pic:blipFill rotWithShape="1">
                  <a:blip r:embed="rId4">
                    <a:extLst>
                      <a:ext uri="{28A0092B-C50C-407E-A947-70E740481C1C}">
                        <a14:useLocalDpi xmlns:a14="http://schemas.microsoft.com/office/drawing/2010/main" val="0"/>
                      </a:ext>
                    </a:extLst>
                  </a:blip>
                  <a:srcRect t="22854" b="11116"/>
                  <a:stretch/>
                </pic:blipFill>
                <pic:spPr bwMode="auto">
                  <a:xfrm>
                    <a:off x="0" y="0"/>
                    <a:ext cx="89090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D5201"/>
    <w:multiLevelType w:val="multilevel"/>
    <w:tmpl w:val="58AA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72DD9"/>
    <w:multiLevelType w:val="hybridMultilevel"/>
    <w:tmpl w:val="0832E5BC"/>
    <w:lvl w:ilvl="0" w:tplc="0DB89CE2">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0F5C57"/>
    <w:multiLevelType w:val="multilevel"/>
    <w:tmpl w:val="7B9C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315FE"/>
    <w:multiLevelType w:val="hybridMultilevel"/>
    <w:tmpl w:val="E436A3BC"/>
    <w:lvl w:ilvl="0" w:tplc="0DB89CE2">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975302">
    <w:abstractNumId w:val="2"/>
  </w:num>
  <w:num w:numId="2" w16cid:durableId="1810321414">
    <w:abstractNumId w:val="1"/>
  </w:num>
  <w:num w:numId="3" w16cid:durableId="445514045">
    <w:abstractNumId w:val="3"/>
  </w:num>
  <w:num w:numId="4" w16cid:durableId="44265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CB"/>
    <w:rsid w:val="000E7502"/>
    <w:rsid w:val="00135829"/>
    <w:rsid w:val="0024089A"/>
    <w:rsid w:val="00290788"/>
    <w:rsid w:val="00307032"/>
    <w:rsid w:val="00585F33"/>
    <w:rsid w:val="00621DA1"/>
    <w:rsid w:val="00747857"/>
    <w:rsid w:val="0078345B"/>
    <w:rsid w:val="008836D2"/>
    <w:rsid w:val="00915A98"/>
    <w:rsid w:val="00936F1D"/>
    <w:rsid w:val="009637CB"/>
    <w:rsid w:val="00A315ED"/>
    <w:rsid w:val="00A44D4C"/>
    <w:rsid w:val="00AE07D3"/>
    <w:rsid w:val="00AF5C38"/>
    <w:rsid w:val="00B47006"/>
    <w:rsid w:val="00B47606"/>
    <w:rsid w:val="00C40B64"/>
    <w:rsid w:val="00C41940"/>
    <w:rsid w:val="00E611AA"/>
    <w:rsid w:val="00F6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883DF"/>
  <w15:chartTrackingRefBased/>
  <w15:docId w15:val="{3CFF45AD-FB2E-485F-BF96-3BBAF2CC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7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37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37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37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37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3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7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37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37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37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37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3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7CB"/>
    <w:rPr>
      <w:rFonts w:eastAsiaTheme="majorEastAsia" w:cstheme="majorBidi"/>
      <w:color w:val="272727" w:themeColor="text1" w:themeTint="D8"/>
    </w:rPr>
  </w:style>
  <w:style w:type="paragraph" w:styleId="Title">
    <w:name w:val="Title"/>
    <w:basedOn w:val="Normal"/>
    <w:next w:val="Normal"/>
    <w:link w:val="TitleChar"/>
    <w:uiPriority w:val="10"/>
    <w:qFormat/>
    <w:rsid w:val="00963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7CB"/>
    <w:pPr>
      <w:spacing w:before="160"/>
      <w:jc w:val="center"/>
    </w:pPr>
    <w:rPr>
      <w:i/>
      <w:iCs/>
      <w:color w:val="404040" w:themeColor="text1" w:themeTint="BF"/>
    </w:rPr>
  </w:style>
  <w:style w:type="character" w:customStyle="1" w:styleId="QuoteChar">
    <w:name w:val="Quote Char"/>
    <w:basedOn w:val="DefaultParagraphFont"/>
    <w:link w:val="Quote"/>
    <w:uiPriority w:val="29"/>
    <w:rsid w:val="009637CB"/>
    <w:rPr>
      <w:i/>
      <w:iCs/>
      <w:color w:val="404040" w:themeColor="text1" w:themeTint="BF"/>
    </w:rPr>
  </w:style>
  <w:style w:type="paragraph" w:styleId="ListParagraph">
    <w:name w:val="List Paragraph"/>
    <w:basedOn w:val="Normal"/>
    <w:uiPriority w:val="34"/>
    <w:qFormat/>
    <w:rsid w:val="009637CB"/>
    <w:pPr>
      <w:ind w:left="720"/>
      <w:contextualSpacing/>
    </w:pPr>
  </w:style>
  <w:style w:type="character" w:styleId="IntenseEmphasis">
    <w:name w:val="Intense Emphasis"/>
    <w:basedOn w:val="DefaultParagraphFont"/>
    <w:uiPriority w:val="21"/>
    <w:qFormat/>
    <w:rsid w:val="009637CB"/>
    <w:rPr>
      <w:i/>
      <w:iCs/>
      <w:color w:val="2F5496" w:themeColor="accent1" w:themeShade="BF"/>
    </w:rPr>
  </w:style>
  <w:style w:type="paragraph" w:styleId="IntenseQuote">
    <w:name w:val="Intense Quote"/>
    <w:basedOn w:val="Normal"/>
    <w:next w:val="Normal"/>
    <w:link w:val="IntenseQuoteChar"/>
    <w:uiPriority w:val="30"/>
    <w:qFormat/>
    <w:rsid w:val="00963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37CB"/>
    <w:rPr>
      <w:i/>
      <w:iCs/>
      <w:color w:val="2F5496" w:themeColor="accent1" w:themeShade="BF"/>
    </w:rPr>
  </w:style>
  <w:style w:type="character" w:styleId="IntenseReference">
    <w:name w:val="Intense Reference"/>
    <w:basedOn w:val="DefaultParagraphFont"/>
    <w:uiPriority w:val="32"/>
    <w:qFormat/>
    <w:rsid w:val="009637CB"/>
    <w:rPr>
      <w:b/>
      <w:bCs/>
      <w:smallCaps/>
      <w:color w:val="2F5496" w:themeColor="accent1" w:themeShade="BF"/>
      <w:spacing w:val="5"/>
    </w:rPr>
  </w:style>
  <w:style w:type="paragraph" w:styleId="Header">
    <w:name w:val="header"/>
    <w:basedOn w:val="Normal"/>
    <w:link w:val="HeaderChar"/>
    <w:uiPriority w:val="99"/>
    <w:unhideWhenUsed/>
    <w:rsid w:val="00963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7CB"/>
  </w:style>
  <w:style w:type="paragraph" w:styleId="Footer">
    <w:name w:val="footer"/>
    <w:basedOn w:val="Normal"/>
    <w:link w:val="FooterChar"/>
    <w:uiPriority w:val="99"/>
    <w:unhideWhenUsed/>
    <w:rsid w:val="00963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7CB"/>
  </w:style>
  <w:style w:type="table" w:styleId="TableGrid">
    <w:name w:val="Table Grid"/>
    <w:basedOn w:val="TableNormal"/>
    <w:uiPriority w:val="59"/>
    <w:rsid w:val="009637C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85F33"/>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21DA1"/>
    <w:rPr>
      <w:color w:val="0563C1" w:themeColor="hyperlink"/>
      <w:u w:val="single"/>
    </w:rPr>
  </w:style>
  <w:style w:type="table" w:customStyle="1" w:styleId="TableGrid0">
    <w:name w:val="TableGrid"/>
    <w:rsid w:val="00936F1D"/>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styleId="Strong">
    <w:name w:val="Strong"/>
    <w:basedOn w:val="DefaultParagraphFont"/>
    <w:uiPriority w:val="22"/>
    <w:qFormat/>
    <w:rsid w:val="00936F1D"/>
    <w:rPr>
      <w:b/>
      <w:bCs/>
    </w:rPr>
  </w:style>
  <w:style w:type="character" w:styleId="UnresolvedMention">
    <w:name w:val="Unresolved Mention"/>
    <w:basedOn w:val="DefaultParagraphFont"/>
    <w:uiPriority w:val="99"/>
    <w:semiHidden/>
    <w:unhideWhenUsed/>
    <w:rsid w:val="00E611AA"/>
    <w:rPr>
      <w:color w:val="605E5C"/>
      <w:shd w:val="clear" w:color="auto" w:fill="E1DFDD"/>
    </w:rPr>
  </w:style>
  <w:style w:type="character" w:styleId="FollowedHyperlink">
    <w:name w:val="FollowedHyperlink"/>
    <w:basedOn w:val="DefaultParagraphFont"/>
    <w:uiPriority w:val="99"/>
    <w:semiHidden/>
    <w:unhideWhenUsed/>
    <w:rsid w:val="00AF5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6414">
      <w:bodyDiv w:val="1"/>
      <w:marLeft w:val="0"/>
      <w:marRight w:val="0"/>
      <w:marTop w:val="0"/>
      <w:marBottom w:val="0"/>
      <w:divBdr>
        <w:top w:val="none" w:sz="0" w:space="0" w:color="auto"/>
        <w:left w:val="none" w:sz="0" w:space="0" w:color="auto"/>
        <w:bottom w:val="none" w:sz="0" w:space="0" w:color="auto"/>
        <w:right w:val="none" w:sz="0" w:space="0" w:color="auto"/>
      </w:divBdr>
    </w:div>
    <w:div w:id="375274216">
      <w:bodyDiv w:val="1"/>
      <w:marLeft w:val="0"/>
      <w:marRight w:val="0"/>
      <w:marTop w:val="0"/>
      <w:marBottom w:val="0"/>
      <w:divBdr>
        <w:top w:val="none" w:sz="0" w:space="0" w:color="auto"/>
        <w:left w:val="none" w:sz="0" w:space="0" w:color="auto"/>
        <w:bottom w:val="none" w:sz="0" w:space="0" w:color="auto"/>
        <w:right w:val="none" w:sz="0" w:space="0" w:color="auto"/>
      </w:divBdr>
    </w:div>
    <w:div w:id="393240749">
      <w:bodyDiv w:val="1"/>
      <w:marLeft w:val="0"/>
      <w:marRight w:val="0"/>
      <w:marTop w:val="0"/>
      <w:marBottom w:val="0"/>
      <w:divBdr>
        <w:top w:val="none" w:sz="0" w:space="0" w:color="auto"/>
        <w:left w:val="none" w:sz="0" w:space="0" w:color="auto"/>
        <w:bottom w:val="none" w:sz="0" w:space="0" w:color="auto"/>
        <w:right w:val="none" w:sz="0" w:space="0" w:color="auto"/>
      </w:divBdr>
    </w:div>
    <w:div w:id="442960660">
      <w:bodyDiv w:val="1"/>
      <w:marLeft w:val="0"/>
      <w:marRight w:val="0"/>
      <w:marTop w:val="0"/>
      <w:marBottom w:val="0"/>
      <w:divBdr>
        <w:top w:val="none" w:sz="0" w:space="0" w:color="auto"/>
        <w:left w:val="none" w:sz="0" w:space="0" w:color="auto"/>
        <w:bottom w:val="none" w:sz="0" w:space="0" w:color="auto"/>
        <w:right w:val="none" w:sz="0" w:space="0" w:color="auto"/>
      </w:divBdr>
    </w:div>
    <w:div w:id="459155119">
      <w:bodyDiv w:val="1"/>
      <w:marLeft w:val="0"/>
      <w:marRight w:val="0"/>
      <w:marTop w:val="0"/>
      <w:marBottom w:val="0"/>
      <w:divBdr>
        <w:top w:val="none" w:sz="0" w:space="0" w:color="auto"/>
        <w:left w:val="none" w:sz="0" w:space="0" w:color="auto"/>
        <w:bottom w:val="none" w:sz="0" w:space="0" w:color="auto"/>
        <w:right w:val="none" w:sz="0" w:space="0" w:color="auto"/>
      </w:divBdr>
    </w:div>
    <w:div w:id="548495217">
      <w:bodyDiv w:val="1"/>
      <w:marLeft w:val="0"/>
      <w:marRight w:val="0"/>
      <w:marTop w:val="0"/>
      <w:marBottom w:val="0"/>
      <w:divBdr>
        <w:top w:val="none" w:sz="0" w:space="0" w:color="auto"/>
        <w:left w:val="none" w:sz="0" w:space="0" w:color="auto"/>
        <w:bottom w:val="none" w:sz="0" w:space="0" w:color="auto"/>
        <w:right w:val="none" w:sz="0" w:space="0" w:color="auto"/>
      </w:divBdr>
    </w:div>
    <w:div w:id="563611615">
      <w:bodyDiv w:val="1"/>
      <w:marLeft w:val="0"/>
      <w:marRight w:val="0"/>
      <w:marTop w:val="0"/>
      <w:marBottom w:val="0"/>
      <w:divBdr>
        <w:top w:val="none" w:sz="0" w:space="0" w:color="auto"/>
        <w:left w:val="none" w:sz="0" w:space="0" w:color="auto"/>
        <w:bottom w:val="none" w:sz="0" w:space="0" w:color="auto"/>
        <w:right w:val="none" w:sz="0" w:space="0" w:color="auto"/>
      </w:divBdr>
    </w:div>
    <w:div w:id="661814267">
      <w:bodyDiv w:val="1"/>
      <w:marLeft w:val="0"/>
      <w:marRight w:val="0"/>
      <w:marTop w:val="0"/>
      <w:marBottom w:val="0"/>
      <w:divBdr>
        <w:top w:val="none" w:sz="0" w:space="0" w:color="auto"/>
        <w:left w:val="none" w:sz="0" w:space="0" w:color="auto"/>
        <w:bottom w:val="none" w:sz="0" w:space="0" w:color="auto"/>
        <w:right w:val="none" w:sz="0" w:space="0" w:color="auto"/>
      </w:divBdr>
    </w:div>
    <w:div w:id="684938727">
      <w:bodyDiv w:val="1"/>
      <w:marLeft w:val="0"/>
      <w:marRight w:val="0"/>
      <w:marTop w:val="0"/>
      <w:marBottom w:val="0"/>
      <w:divBdr>
        <w:top w:val="none" w:sz="0" w:space="0" w:color="auto"/>
        <w:left w:val="none" w:sz="0" w:space="0" w:color="auto"/>
        <w:bottom w:val="none" w:sz="0" w:space="0" w:color="auto"/>
        <w:right w:val="none" w:sz="0" w:space="0" w:color="auto"/>
      </w:divBdr>
    </w:div>
    <w:div w:id="725950942">
      <w:bodyDiv w:val="1"/>
      <w:marLeft w:val="0"/>
      <w:marRight w:val="0"/>
      <w:marTop w:val="0"/>
      <w:marBottom w:val="0"/>
      <w:divBdr>
        <w:top w:val="none" w:sz="0" w:space="0" w:color="auto"/>
        <w:left w:val="none" w:sz="0" w:space="0" w:color="auto"/>
        <w:bottom w:val="none" w:sz="0" w:space="0" w:color="auto"/>
        <w:right w:val="none" w:sz="0" w:space="0" w:color="auto"/>
      </w:divBdr>
    </w:div>
    <w:div w:id="848638199">
      <w:bodyDiv w:val="1"/>
      <w:marLeft w:val="0"/>
      <w:marRight w:val="0"/>
      <w:marTop w:val="0"/>
      <w:marBottom w:val="0"/>
      <w:divBdr>
        <w:top w:val="none" w:sz="0" w:space="0" w:color="auto"/>
        <w:left w:val="none" w:sz="0" w:space="0" w:color="auto"/>
        <w:bottom w:val="none" w:sz="0" w:space="0" w:color="auto"/>
        <w:right w:val="none" w:sz="0" w:space="0" w:color="auto"/>
      </w:divBdr>
    </w:div>
    <w:div w:id="913704278">
      <w:bodyDiv w:val="1"/>
      <w:marLeft w:val="0"/>
      <w:marRight w:val="0"/>
      <w:marTop w:val="0"/>
      <w:marBottom w:val="0"/>
      <w:divBdr>
        <w:top w:val="none" w:sz="0" w:space="0" w:color="auto"/>
        <w:left w:val="none" w:sz="0" w:space="0" w:color="auto"/>
        <w:bottom w:val="none" w:sz="0" w:space="0" w:color="auto"/>
        <w:right w:val="none" w:sz="0" w:space="0" w:color="auto"/>
      </w:divBdr>
    </w:div>
    <w:div w:id="981278151">
      <w:bodyDiv w:val="1"/>
      <w:marLeft w:val="0"/>
      <w:marRight w:val="0"/>
      <w:marTop w:val="0"/>
      <w:marBottom w:val="0"/>
      <w:divBdr>
        <w:top w:val="none" w:sz="0" w:space="0" w:color="auto"/>
        <w:left w:val="none" w:sz="0" w:space="0" w:color="auto"/>
        <w:bottom w:val="none" w:sz="0" w:space="0" w:color="auto"/>
        <w:right w:val="none" w:sz="0" w:space="0" w:color="auto"/>
      </w:divBdr>
    </w:div>
    <w:div w:id="1035621800">
      <w:bodyDiv w:val="1"/>
      <w:marLeft w:val="0"/>
      <w:marRight w:val="0"/>
      <w:marTop w:val="0"/>
      <w:marBottom w:val="0"/>
      <w:divBdr>
        <w:top w:val="none" w:sz="0" w:space="0" w:color="auto"/>
        <w:left w:val="none" w:sz="0" w:space="0" w:color="auto"/>
        <w:bottom w:val="none" w:sz="0" w:space="0" w:color="auto"/>
        <w:right w:val="none" w:sz="0" w:space="0" w:color="auto"/>
      </w:divBdr>
    </w:div>
    <w:div w:id="1044135083">
      <w:bodyDiv w:val="1"/>
      <w:marLeft w:val="0"/>
      <w:marRight w:val="0"/>
      <w:marTop w:val="0"/>
      <w:marBottom w:val="0"/>
      <w:divBdr>
        <w:top w:val="none" w:sz="0" w:space="0" w:color="auto"/>
        <w:left w:val="none" w:sz="0" w:space="0" w:color="auto"/>
        <w:bottom w:val="none" w:sz="0" w:space="0" w:color="auto"/>
        <w:right w:val="none" w:sz="0" w:space="0" w:color="auto"/>
      </w:divBdr>
    </w:div>
    <w:div w:id="1061909365">
      <w:bodyDiv w:val="1"/>
      <w:marLeft w:val="0"/>
      <w:marRight w:val="0"/>
      <w:marTop w:val="0"/>
      <w:marBottom w:val="0"/>
      <w:divBdr>
        <w:top w:val="none" w:sz="0" w:space="0" w:color="auto"/>
        <w:left w:val="none" w:sz="0" w:space="0" w:color="auto"/>
        <w:bottom w:val="none" w:sz="0" w:space="0" w:color="auto"/>
        <w:right w:val="none" w:sz="0" w:space="0" w:color="auto"/>
      </w:divBdr>
    </w:div>
    <w:div w:id="1086422201">
      <w:bodyDiv w:val="1"/>
      <w:marLeft w:val="0"/>
      <w:marRight w:val="0"/>
      <w:marTop w:val="0"/>
      <w:marBottom w:val="0"/>
      <w:divBdr>
        <w:top w:val="none" w:sz="0" w:space="0" w:color="auto"/>
        <w:left w:val="none" w:sz="0" w:space="0" w:color="auto"/>
        <w:bottom w:val="none" w:sz="0" w:space="0" w:color="auto"/>
        <w:right w:val="none" w:sz="0" w:space="0" w:color="auto"/>
      </w:divBdr>
    </w:div>
    <w:div w:id="1151026048">
      <w:bodyDiv w:val="1"/>
      <w:marLeft w:val="0"/>
      <w:marRight w:val="0"/>
      <w:marTop w:val="0"/>
      <w:marBottom w:val="0"/>
      <w:divBdr>
        <w:top w:val="none" w:sz="0" w:space="0" w:color="auto"/>
        <w:left w:val="none" w:sz="0" w:space="0" w:color="auto"/>
        <w:bottom w:val="none" w:sz="0" w:space="0" w:color="auto"/>
        <w:right w:val="none" w:sz="0" w:space="0" w:color="auto"/>
      </w:divBdr>
    </w:div>
    <w:div w:id="1197693400">
      <w:bodyDiv w:val="1"/>
      <w:marLeft w:val="0"/>
      <w:marRight w:val="0"/>
      <w:marTop w:val="0"/>
      <w:marBottom w:val="0"/>
      <w:divBdr>
        <w:top w:val="none" w:sz="0" w:space="0" w:color="auto"/>
        <w:left w:val="none" w:sz="0" w:space="0" w:color="auto"/>
        <w:bottom w:val="none" w:sz="0" w:space="0" w:color="auto"/>
        <w:right w:val="none" w:sz="0" w:space="0" w:color="auto"/>
      </w:divBdr>
    </w:div>
    <w:div w:id="1225406824">
      <w:bodyDiv w:val="1"/>
      <w:marLeft w:val="0"/>
      <w:marRight w:val="0"/>
      <w:marTop w:val="0"/>
      <w:marBottom w:val="0"/>
      <w:divBdr>
        <w:top w:val="none" w:sz="0" w:space="0" w:color="auto"/>
        <w:left w:val="none" w:sz="0" w:space="0" w:color="auto"/>
        <w:bottom w:val="none" w:sz="0" w:space="0" w:color="auto"/>
        <w:right w:val="none" w:sz="0" w:space="0" w:color="auto"/>
      </w:divBdr>
    </w:div>
    <w:div w:id="1251428486">
      <w:bodyDiv w:val="1"/>
      <w:marLeft w:val="0"/>
      <w:marRight w:val="0"/>
      <w:marTop w:val="0"/>
      <w:marBottom w:val="0"/>
      <w:divBdr>
        <w:top w:val="none" w:sz="0" w:space="0" w:color="auto"/>
        <w:left w:val="none" w:sz="0" w:space="0" w:color="auto"/>
        <w:bottom w:val="none" w:sz="0" w:space="0" w:color="auto"/>
        <w:right w:val="none" w:sz="0" w:space="0" w:color="auto"/>
      </w:divBdr>
    </w:div>
    <w:div w:id="1255868169">
      <w:bodyDiv w:val="1"/>
      <w:marLeft w:val="0"/>
      <w:marRight w:val="0"/>
      <w:marTop w:val="0"/>
      <w:marBottom w:val="0"/>
      <w:divBdr>
        <w:top w:val="none" w:sz="0" w:space="0" w:color="auto"/>
        <w:left w:val="none" w:sz="0" w:space="0" w:color="auto"/>
        <w:bottom w:val="none" w:sz="0" w:space="0" w:color="auto"/>
        <w:right w:val="none" w:sz="0" w:space="0" w:color="auto"/>
      </w:divBdr>
    </w:div>
    <w:div w:id="1256479778">
      <w:bodyDiv w:val="1"/>
      <w:marLeft w:val="0"/>
      <w:marRight w:val="0"/>
      <w:marTop w:val="0"/>
      <w:marBottom w:val="0"/>
      <w:divBdr>
        <w:top w:val="none" w:sz="0" w:space="0" w:color="auto"/>
        <w:left w:val="none" w:sz="0" w:space="0" w:color="auto"/>
        <w:bottom w:val="none" w:sz="0" w:space="0" w:color="auto"/>
        <w:right w:val="none" w:sz="0" w:space="0" w:color="auto"/>
      </w:divBdr>
    </w:div>
    <w:div w:id="1476681092">
      <w:bodyDiv w:val="1"/>
      <w:marLeft w:val="0"/>
      <w:marRight w:val="0"/>
      <w:marTop w:val="0"/>
      <w:marBottom w:val="0"/>
      <w:divBdr>
        <w:top w:val="none" w:sz="0" w:space="0" w:color="auto"/>
        <w:left w:val="none" w:sz="0" w:space="0" w:color="auto"/>
        <w:bottom w:val="none" w:sz="0" w:space="0" w:color="auto"/>
        <w:right w:val="none" w:sz="0" w:space="0" w:color="auto"/>
      </w:divBdr>
    </w:div>
    <w:div w:id="1645548425">
      <w:bodyDiv w:val="1"/>
      <w:marLeft w:val="0"/>
      <w:marRight w:val="0"/>
      <w:marTop w:val="0"/>
      <w:marBottom w:val="0"/>
      <w:divBdr>
        <w:top w:val="none" w:sz="0" w:space="0" w:color="auto"/>
        <w:left w:val="none" w:sz="0" w:space="0" w:color="auto"/>
        <w:bottom w:val="none" w:sz="0" w:space="0" w:color="auto"/>
        <w:right w:val="none" w:sz="0" w:space="0" w:color="auto"/>
      </w:divBdr>
    </w:div>
    <w:div w:id="1648361779">
      <w:bodyDiv w:val="1"/>
      <w:marLeft w:val="0"/>
      <w:marRight w:val="0"/>
      <w:marTop w:val="0"/>
      <w:marBottom w:val="0"/>
      <w:divBdr>
        <w:top w:val="none" w:sz="0" w:space="0" w:color="auto"/>
        <w:left w:val="none" w:sz="0" w:space="0" w:color="auto"/>
        <w:bottom w:val="none" w:sz="0" w:space="0" w:color="auto"/>
        <w:right w:val="none" w:sz="0" w:space="0" w:color="auto"/>
      </w:divBdr>
    </w:div>
    <w:div w:id="1700738458">
      <w:bodyDiv w:val="1"/>
      <w:marLeft w:val="0"/>
      <w:marRight w:val="0"/>
      <w:marTop w:val="0"/>
      <w:marBottom w:val="0"/>
      <w:divBdr>
        <w:top w:val="none" w:sz="0" w:space="0" w:color="auto"/>
        <w:left w:val="none" w:sz="0" w:space="0" w:color="auto"/>
        <w:bottom w:val="none" w:sz="0" w:space="0" w:color="auto"/>
        <w:right w:val="none" w:sz="0" w:space="0" w:color="auto"/>
      </w:divBdr>
    </w:div>
    <w:div w:id="1829520365">
      <w:bodyDiv w:val="1"/>
      <w:marLeft w:val="0"/>
      <w:marRight w:val="0"/>
      <w:marTop w:val="0"/>
      <w:marBottom w:val="0"/>
      <w:divBdr>
        <w:top w:val="none" w:sz="0" w:space="0" w:color="auto"/>
        <w:left w:val="none" w:sz="0" w:space="0" w:color="auto"/>
        <w:bottom w:val="none" w:sz="0" w:space="0" w:color="auto"/>
        <w:right w:val="none" w:sz="0" w:space="0" w:color="auto"/>
      </w:divBdr>
    </w:div>
    <w:div w:id="1833256806">
      <w:bodyDiv w:val="1"/>
      <w:marLeft w:val="0"/>
      <w:marRight w:val="0"/>
      <w:marTop w:val="0"/>
      <w:marBottom w:val="0"/>
      <w:divBdr>
        <w:top w:val="none" w:sz="0" w:space="0" w:color="auto"/>
        <w:left w:val="none" w:sz="0" w:space="0" w:color="auto"/>
        <w:bottom w:val="none" w:sz="0" w:space="0" w:color="auto"/>
        <w:right w:val="none" w:sz="0" w:space="0" w:color="auto"/>
      </w:divBdr>
    </w:div>
    <w:div w:id="1893809824">
      <w:bodyDiv w:val="1"/>
      <w:marLeft w:val="0"/>
      <w:marRight w:val="0"/>
      <w:marTop w:val="0"/>
      <w:marBottom w:val="0"/>
      <w:divBdr>
        <w:top w:val="none" w:sz="0" w:space="0" w:color="auto"/>
        <w:left w:val="none" w:sz="0" w:space="0" w:color="auto"/>
        <w:bottom w:val="none" w:sz="0" w:space="0" w:color="auto"/>
        <w:right w:val="none" w:sz="0" w:space="0" w:color="auto"/>
      </w:divBdr>
    </w:div>
    <w:div w:id="20772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cprocurement@clintonhealthaccess.org" TargetMode="External"/><Relationship Id="rId13" Type="http://schemas.openxmlformats.org/officeDocument/2006/relationships/hyperlink" Target="mailto:drcprocurement@clintonhealthaccess.org"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rcprocurement@clintonhealthaccess.org" TargetMode="External"/><Relationship Id="rId12" Type="http://schemas.openxmlformats.org/officeDocument/2006/relationships/hyperlink" Target="https://clintonhealth.box.com/s/4ytwj14rtn18dp2txwwvkj0zckksm16v" TargetMode="External"/><Relationship Id="rId17" Type="http://schemas.openxmlformats.org/officeDocument/2006/relationships/hyperlink" Target="https://clintonhealth.box.com/s/w4aev9ayvkwkklonlkrz45oab80s2ero" TargetMode="External"/><Relationship Id="rId2" Type="http://schemas.openxmlformats.org/officeDocument/2006/relationships/styles" Target="styles.xml"/><Relationship Id="rId16" Type="http://schemas.openxmlformats.org/officeDocument/2006/relationships/hyperlink" Target="mailto:drcprocurement@clintonhealthaccess.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cprocurement@clintonhealthaccess.org" TargetMode="External"/><Relationship Id="rId5" Type="http://schemas.openxmlformats.org/officeDocument/2006/relationships/footnotes" Target="footnotes.xml"/><Relationship Id="rId15" Type="http://schemas.openxmlformats.org/officeDocument/2006/relationships/hyperlink" Target="https://clintonhealth.box.com/s/ec9b93bjl1xdxnzdst8px6zl3qhypur4" TargetMode="External"/><Relationship Id="rId10" Type="http://schemas.openxmlformats.org/officeDocument/2006/relationships/hyperlink" Target="mailto:gemprocurement@clintonhealthaccess.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rcprocurement@clintonhealthaccess.org" TargetMode="External"/><Relationship Id="rId14" Type="http://schemas.openxmlformats.org/officeDocument/2006/relationships/hyperlink" Target="https://clintonhealth.box.com/s/q4c9d1zmxvxegd93a5ik3ufqo8r49rm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1820</Words>
  <Characters>10397</Characters>
  <Application>Microsoft Office Word</Application>
  <DocSecurity>0</DocSecurity>
  <Lines>241</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Bokanga</dc:creator>
  <cp:keywords/>
  <dc:description/>
  <cp:lastModifiedBy>Harvey Mogojwe</cp:lastModifiedBy>
  <cp:revision>2</cp:revision>
  <dcterms:created xsi:type="dcterms:W3CDTF">2024-08-06T11:08:00Z</dcterms:created>
  <dcterms:modified xsi:type="dcterms:W3CDTF">2024-08-06T11:08:00Z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36b4bfa3-b116-4ebc-b7e7-28f638f6189e</vt:lpwstr>
  </property>
</Properties>
</file>